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96" w:rsidRDefault="008718AD" w:rsidP="00056996">
      <w:pPr>
        <w:keepNext/>
        <w:spacing w:before="240" w:after="60" w:line="360" w:lineRule="auto"/>
        <w:jc w:val="center"/>
        <w:outlineLvl w:val="1"/>
        <w:rPr>
          <w:rStyle w:val="IntenseEmphasis"/>
          <w:i w:val="0"/>
          <w:sz w:val="28"/>
          <w:szCs w:val="28"/>
        </w:rPr>
      </w:pPr>
      <w:r w:rsidRPr="008718AD">
        <w:rPr>
          <w:rStyle w:val="IntenseEmphasis"/>
          <w:i w:val="0"/>
          <w:sz w:val="28"/>
          <w:szCs w:val="28"/>
        </w:rPr>
        <w:t>Treatment Program Requirements</w:t>
      </w:r>
      <w:bookmarkStart w:id="0" w:name="_Toc108011432"/>
    </w:p>
    <w:p w:rsidR="00056996" w:rsidRDefault="00056996" w:rsidP="00056996">
      <w:pPr>
        <w:keepNext/>
        <w:spacing w:before="240" w:after="60" w:line="360" w:lineRule="auto"/>
        <w:outlineLvl w:val="1"/>
        <w:rPr>
          <w:rStyle w:val="SubtleReference"/>
          <w:rFonts w:ascii="Times New Roman" w:hAnsi="Times New Roman" w:cs="Times New Roman"/>
          <w:sz w:val="24"/>
          <w:szCs w:val="24"/>
        </w:rPr>
      </w:pPr>
      <w:r w:rsidRPr="00B92D83">
        <w:rPr>
          <w:rStyle w:val="SubtleReference"/>
          <w:sz w:val="32"/>
          <w:szCs w:val="32"/>
        </w:rPr>
        <w:t>P</w:t>
      </w:r>
      <w:r>
        <w:rPr>
          <w:rStyle w:val="SubtleReference"/>
          <w:sz w:val="32"/>
          <w:szCs w:val="32"/>
        </w:rPr>
        <w:t>roviders</w:t>
      </w:r>
      <w:bookmarkEnd w:id="0"/>
      <w:r>
        <w:rPr>
          <w:rStyle w:val="SubtleReference"/>
          <w:sz w:val="32"/>
          <w:szCs w:val="32"/>
        </w:rPr>
        <w:br/>
      </w:r>
      <w:r w:rsidRPr="005B70FF">
        <w:rPr>
          <w:rStyle w:val="SubtleReference"/>
          <w:rFonts w:ascii="Times New Roman" w:hAnsi="Times New Roman" w:cs="Times New Roman"/>
          <w:b/>
          <w:sz w:val="24"/>
          <w:szCs w:val="24"/>
        </w:rPr>
        <w:t>Buprenorphine, Buprenorphine/naloxone</w:t>
      </w:r>
    </w:p>
    <w:p w:rsidR="00056996" w:rsidRPr="004C31E2" w:rsidRDefault="00056996" w:rsidP="00056996">
      <w:pPr>
        <w:spacing w:after="0" w:line="240" w:lineRule="auto"/>
        <w:rPr>
          <w:rFonts w:ascii="Times New Roman" w:eastAsia="Times New Roman" w:hAnsi="Times New Roman" w:cs="Times New Roman"/>
          <w:sz w:val="24"/>
          <w:szCs w:val="24"/>
        </w:rPr>
      </w:pPr>
      <w:r w:rsidRPr="004C31E2">
        <w:rPr>
          <w:rFonts w:ascii="Times New Roman" w:eastAsia="Times New Roman" w:hAnsi="Times New Roman" w:cs="Times New Roman"/>
          <w:b/>
          <w:smallCaps/>
          <w:sz w:val="24"/>
          <w:szCs w:val="24"/>
        </w:rPr>
        <w:t xml:space="preserve">Qualifications: </w:t>
      </w:r>
      <w:r w:rsidRPr="004C31E2">
        <w:rPr>
          <w:rFonts w:ascii="Times New Roman" w:eastAsia="Times New Roman" w:hAnsi="Times New Roman" w:cs="Times New Roman"/>
          <w:sz w:val="24"/>
          <w:szCs w:val="24"/>
        </w:rPr>
        <w:t xml:space="preserve">Qualified providers must obtain a waiver of authority to prescribe any medication that is a scheduled III, IV, or V and FDA approved for the treatment of opioid dependence for the purpose of detoxification or maintenance treatment of patients with opioid dependence. With DATA 2000, physicians became legally qualified to receive waiver training. In July 2016 the </w:t>
      </w:r>
      <w:r>
        <w:rPr>
          <w:rFonts w:ascii="Times New Roman" w:eastAsia="Times New Roman" w:hAnsi="Times New Roman" w:cs="Times New Roman"/>
          <w:sz w:val="24"/>
          <w:szCs w:val="24"/>
        </w:rPr>
        <w:t>Comprehensive Addiction and Recovery Act</w:t>
      </w:r>
      <w:r w:rsidRPr="004C31E2">
        <w:rPr>
          <w:rFonts w:ascii="Times New Roman" w:eastAsia="Times New Roman" w:hAnsi="Times New Roman" w:cs="Times New Roman"/>
          <w:sz w:val="24"/>
          <w:szCs w:val="24"/>
        </w:rPr>
        <w:t xml:space="preserve"> was </w:t>
      </w:r>
      <w:r>
        <w:rPr>
          <w:rFonts w:ascii="Times New Roman" w:eastAsia="Times New Roman" w:hAnsi="Times New Roman" w:cs="Times New Roman"/>
          <w:sz w:val="24"/>
          <w:szCs w:val="24"/>
        </w:rPr>
        <w:t>signed</w:t>
      </w:r>
      <w:r w:rsidRPr="004C31E2">
        <w:rPr>
          <w:rFonts w:ascii="Times New Roman" w:eastAsia="Times New Roman" w:hAnsi="Times New Roman" w:cs="Times New Roman"/>
          <w:sz w:val="24"/>
          <w:szCs w:val="24"/>
        </w:rPr>
        <w:t xml:space="preserve"> into law increasing buprenorphine prescription authority to also include physician assistants and nurse practitioners for 5 years (until Oct, 2021).</w:t>
      </w:r>
    </w:p>
    <w:p w:rsidR="00056996" w:rsidRPr="004C31E2" w:rsidRDefault="00056996" w:rsidP="00056996">
      <w:pPr>
        <w:spacing w:after="0" w:line="240" w:lineRule="auto"/>
        <w:ind w:left="720"/>
        <w:rPr>
          <w:rFonts w:ascii="Times New Roman" w:eastAsia="Times New Roman" w:hAnsi="Times New Roman" w:cs="Times New Roman"/>
          <w:sz w:val="24"/>
          <w:szCs w:val="24"/>
        </w:rPr>
      </w:pPr>
    </w:p>
    <w:p w:rsidR="00056996" w:rsidRPr="004C31E2" w:rsidRDefault="00056996" w:rsidP="00056996">
      <w:pPr>
        <w:spacing w:after="0" w:line="240" w:lineRule="auto"/>
        <w:rPr>
          <w:rFonts w:ascii="Times New Roman" w:eastAsia="Times New Roman" w:hAnsi="Times New Roman" w:cs="Times New Roman"/>
          <w:sz w:val="24"/>
          <w:szCs w:val="24"/>
        </w:rPr>
      </w:pPr>
      <w:r w:rsidRPr="004C31E2">
        <w:rPr>
          <w:rFonts w:ascii="Times New Roman" w:eastAsia="Times New Roman" w:hAnsi="Times New Roman" w:cs="Times New Roman"/>
          <w:b/>
          <w:smallCaps/>
          <w:sz w:val="24"/>
          <w:szCs w:val="24"/>
        </w:rPr>
        <w:t>Physician Waiver Eligibility</w:t>
      </w:r>
      <w:r w:rsidRPr="004C31E2">
        <w:rPr>
          <w:rFonts w:ascii="Times New Roman" w:eastAsia="Times New Roman" w:hAnsi="Times New Roman" w:cs="Times New Roman"/>
          <w:b/>
          <w:sz w:val="24"/>
          <w:szCs w:val="24"/>
        </w:rPr>
        <w:t xml:space="preserve">: </w:t>
      </w:r>
      <w:r w:rsidRPr="004C31E2">
        <w:rPr>
          <w:rFonts w:ascii="Times New Roman" w:eastAsia="Times New Roman" w:hAnsi="Times New Roman" w:cs="Times New Roman"/>
          <w:sz w:val="24"/>
          <w:szCs w:val="24"/>
        </w:rPr>
        <w:t>To be eligible for a waiver, providers must have a current state medical license, a valid registration number</w:t>
      </w:r>
      <w:r>
        <w:rPr>
          <w:rFonts w:ascii="Times New Roman" w:eastAsia="Times New Roman" w:hAnsi="Times New Roman" w:cs="Times New Roman"/>
          <w:sz w:val="24"/>
          <w:szCs w:val="24"/>
        </w:rPr>
        <w:t xml:space="preserve"> from the US Drug Enforcement Agency (DEA)</w:t>
      </w:r>
      <w:r w:rsidRPr="004C31E2">
        <w:rPr>
          <w:rFonts w:ascii="Times New Roman" w:eastAsia="Times New Roman" w:hAnsi="Times New Roman" w:cs="Times New Roman"/>
          <w:sz w:val="24"/>
          <w:szCs w:val="24"/>
        </w:rPr>
        <w:t>, completion of 8</w:t>
      </w:r>
      <w:r>
        <w:rPr>
          <w:rFonts w:ascii="Times New Roman" w:eastAsia="Times New Roman" w:hAnsi="Times New Roman" w:cs="Times New Roman"/>
          <w:sz w:val="24"/>
          <w:szCs w:val="24"/>
        </w:rPr>
        <w:t xml:space="preserve"> hours</w:t>
      </w:r>
      <w:r w:rsidRPr="004C31E2">
        <w:rPr>
          <w:rFonts w:ascii="Times New Roman" w:eastAsia="Times New Roman" w:hAnsi="Times New Roman" w:cs="Times New Roman"/>
          <w:sz w:val="24"/>
          <w:szCs w:val="24"/>
        </w:rPr>
        <w:t xml:space="preserve"> of an approved waiver training course, and one or more of the following: </w:t>
      </w:r>
    </w:p>
    <w:p w:rsidR="00056996" w:rsidRPr="004C31E2" w:rsidRDefault="00056996" w:rsidP="00056996">
      <w:pPr>
        <w:pStyle w:val="ListParagraph"/>
      </w:pPr>
    </w:p>
    <w:p w:rsidR="00056996" w:rsidRPr="00BC5653" w:rsidRDefault="00056996" w:rsidP="00056996">
      <w:pPr>
        <w:numPr>
          <w:ilvl w:val="1"/>
          <w:numId w:val="2"/>
        </w:numPr>
        <w:tabs>
          <w:tab w:val="clear" w:pos="1440"/>
          <w:tab w:val="num" w:pos="2160"/>
        </w:tabs>
        <w:spacing w:before="120" w:after="120" w:line="240" w:lineRule="auto"/>
        <w:ind w:left="2160"/>
        <w:rPr>
          <w:rFonts w:ascii="Times New Roman" w:eastAsia="Times New Roman" w:hAnsi="Times New Roman" w:cs="Times New Roman"/>
          <w:sz w:val="24"/>
          <w:szCs w:val="24"/>
        </w:rPr>
      </w:pPr>
      <w:r w:rsidRPr="004C31E2">
        <w:rPr>
          <w:rFonts w:ascii="Times New Roman" w:hAnsi="Times New Roman" w:cs="Times New Roman"/>
          <w:sz w:val="24"/>
          <w:szCs w:val="24"/>
        </w:rPr>
        <w:t>Board subspecialty certification for addiction psychiatry (</w:t>
      </w:r>
      <w:r w:rsidRPr="004C31E2">
        <w:rPr>
          <w:rFonts w:ascii="Times New Roman" w:hAnsi="Times New Roman" w:cs="Times New Roman"/>
          <w:i/>
          <w:sz w:val="24"/>
          <w:szCs w:val="24"/>
        </w:rPr>
        <w:t xml:space="preserve">American Board of Medical Specialties), </w:t>
      </w:r>
      <w:r w:rsidRPr="004C31E2">
        <w:rPr>
          <w:rFonts w:ascii="Times New Roman" w:hAnsi="Times New Roman" w:cs="Times New Roman"/>
          <w:sz w:val="24"/>
          <w:szCs w:val="24"/>
        </w:rPr>
        <w:t>addiction (</w:t>
      </w:r>
      <w:r w:rsidRPr="004C31E2">
        <w:rPr>
          <w:rFonts w:ascii="Times New Roman" w:hAnsi="Times New Roman" w:cs="Times New Roman"/>
          <w:i/>
          <w:sz w:val="24"/>
          <w:szCs w:val="24"/>
        </w:rPr>
        <w:t>American Society of Addiction Medicine</w:t>
      </w:r>
      <w:r w:rsidRPr="004C31E2">
        <w:rPr>
          <w:rFonts w:ascii="Times New Roman" w:hAnsi="Times New Roman" w:cs="Times New Roman"/>
          <w:sz w:val="24"/>
          <w:szCs w:val="24"/>
        </w:rPr>
        <w:t>), or addiction medicine (</w:t>
      </w:r>
      <w:r w:rsidRPr="004C31E2">
        <w:rPr>
          <w:rFonts w:ascii="Times New Roman" w:hAnsi="Times New Roman" w:cs="Times New Roman"/>
          <w:i/>
          <w:sz w:val="24"/>
          <w:szCs w:val="24"/>
        </w:rPr>
        <w:t xml:space="preserve">American Osteopathic Academy of Addiction Medicine) </w:t>
      </w:r>
      <w:r w:rsidRPr="004C31E2">
        <w:rPr>
          <w:rFonts w:ascii="Times New Roman" w:hAnsi="Times New Roman" w:cs="Times New Roman"/>
          <w:sz w:val="24"/>
          <w:szCs w:val="24"/>
        </w:rPr>
        <w:t xml:space="preserve"> </w:t>
      </w:r>
    </w:p>
    <w:p w:rsidR="00056996" w:rsidRPr="004C31E2" w:rsidRDefault="00056996" w:rsidP="00056996">
      <w:pPr>
        <w:spacing w:before="120" w:after="120" w:line="240" w:lineRule="auto"/>
        <w:ind w:left="720" w:firstLine="720"/>
        <w:rPr>
          <w:rFonts w:ascii="Times New Roman" w:eastAsia="Times New Roman" w:hAnsi="Times New Roman" w:cs="Times New Roman"/>
          <w:sz w:val="24"/>
          <w:szCs w:val="24"/>
        </w:rPr>
      </w:pPr>
      <w:r w:rsidRPr="004C31E2">
        <w:rPr>
          <w:rFonts w:ascii="Times New Roman" w:hAnsi="Times New Roman" w:cs="Times New Roman"/>
          <w:sz w:val="24"/>
          <w:szCs w:val="24"/>
        </w:rPr>
        <w:t xml:space="preserve">–OR– </w:t>
      </w:r>
    </w:p>
    <w:p w:rsidR="00056996" w:rsidRPr="00BC5653" w:rsidRDefault="00056996" w:rsidP="00056996">
      <w:pPr>
        <w:numPr>
          <w:ilvl w:val="1"/>
          <w:numId w:val="2"/>
        </w:numPr>
        <w:tabs>
          <w:tab w:val="clear" w:pos="1440"/>
          <w:tab w:val="num" w:pos="2160"/>
        </w:tabs>
        <w:spacing w:after="0" w:line="240" w:lineRule="auto"/>
        <w:ind w:left="2160"/>
        <w:rPr>
          <w:rFonts w:ascii="Times New Roman" w:eastAsia="Times New Roman" w:hAnsi="Times New Roman" w:cs="Times New Roman"/>
          <w:sz w:val="24"/>
          <w:szCs w:val="24"/>
        </w:rPr>
      </w:pPr>
      <w:r w:rsidRPr="004C31E2">
        <w:rPr>
          <w:rFonts w:ascii="Times New Roman" w:hAnsi="Times New Roman" w:cs="Times New Roman"/>
          <w:sz w:val="24"/>
          <w:szCs w:val="24"/>
        </w:rPr>
        <w:t>Participation as an investigator in one or more trials that led to the FDA approval of buprenorphine/naloxone or another Schedule III-V narcotic medication used for the maintenance or detoxification treatment of opioid addiction</w:t>
      </w:r>
    </w:p>
    <w:p w:rsidR="00056996" w:rsidRPr="004C31E2" w:rsidRDefault="00056996" w:rsidP="00056996">
      <w:pPr>
        <w:spacing w:before="120" w:after="120" w:line="240" w:lineRule="auto"/>
        <w:ind w:left="1440"/>
        <w:rPr>
          <w:rFonts w:ascii="Times New Roman" w:eastAsia="Times New Roman" w:hAnsi="Times New Roman" w:cs="Times New Roman"/>
          <w:sz w:val="24"/>
          <w:szCs w:val="24"/>
        </w:rPr>
      </w:pPr>
      <w:r w:rsidRPr="004C31E2">
        <w:rPr>
          <w:rFonts w:ascii="Times New Roman" w:hAnsi="Times New Roman" w:cs="Times New Roman"/>
          <w:sz w:val="24"/>
          <w:szCs w:val="24"/>
        </w:rPr>
        <w:t xml:space="preserve"> –OR–</w:t>
      </w:r>
    </w:p>
    <w:p w:rsidR="00056996" w:rsidRPr="004C31E2" w:rsidRDefault="00056996" w:rsidP="00056996">
      <w:pPr>
        <w:numPr>
          <w:ilvl w:val="1"/>
          <w:numId w:val="2"/>
        </w:numPr>
        <w:tabs>
          <w:tab w:val="clear" w:pos="1440"/>
          <w:tab w:val="num" w:pos="2160"/>
        </w:tabs>
        <w:spacing w:after="0" w:line="240" w:lineRule="auto"/>
        <w:ind w:left="2160"/>
        <w:rPr>
          <w:rFonts w:ascii="Times New Roman" w:eastAsia="Times New Roman" w:hAnsi="Times New Roman" w:cs="Times New Roman"/>
          <w:sz w:val="24"/>
          <w:szCs w:val="24"/>
        </w:rPr>
      </w:pPr>
      <w:r w:rsidRPr="004C31E2">
        <w:rPr>
          <w:rFonts w:ascii="Times New Roman" w:hAnsi="Times New Roman" w:cs="Times New Roman"/>
          <w:sz w:val="24"/>
          <w:szCs w:val="24"/>
        </w:rPr>
        <w:t>Other training or experience deemed equivalent by either the state Medical Board or by the Secretary of Health and Human Services</w:t>
      </w:r>
      <w:r>
        <w:rPr>
          <w:rFonts w:ascii="Times New Roman" w:hAnsi="Times New Roman" w:cs="Times New Roman"/>
          <w:sz w:val="24"/>
          <w:szCs w:val="24"/>
        </w:rPr>
        <w:t xml:space="preserve"> (HHS)</w:t>
      </w:r>
      <w:r w:rsidRPr="004C31E2">
        <w:rPr>
          <w:rFonts w:ascii="Times New Roman" w:hAnsi="Times New Roman" w:cs="Times New Roman"/>
          <w:sz w:val="24"/>
          <w:szCs w:val="24"/>
        </w:rPr>
        <w:t>.</w:t>
      </w:r>
    </w:p>
    <w:p w:rsidR="00056996" w:rsidRPr="004C31E2" w:rsidRDefault="00056996" w:rsidP="00056996">
      <w:pPr>
        <w:pStyle w:val="ListParagraph"/>
        <w:ind w:left="1080"/>
      </w:pPr>
    </w:p>
    <w:p w:rsidR="00056996" w:rsidRPr="002B6C7F" w:rsidRDefault="00056996" w:rsidP="00056996">
      <w:pPr>
        <w:rPr>
          <w:rFonts w:ascii="Times New Roman" w:hAnsi="Times New Roman" w:cs="Times New Roman"/>
          <w:sz w:val="24"/>
          <w:szCs w:val="24"/>
        </w:rPr>
      </w:pPr>
      <w:r w:rsidRPr="004C31E2">
        <w:rPr>
          <w:rFonts w:ascii="Times New Roman" w:hAnsi="Times New Roman" w:cs="Times New Roman"/>
          <w:b/>
          <w:smallCaps/>
          <w:sz w:val="24"/>
          <w:szCs w:val="24"/>
        </w:rPr>
        <w:t>NP/PA Waiver Eligibility</w:t>
      </w:r>
      <w:r w:rsidRPr="004C31E2">
        <w:rPr>
          <w:rFonts w:ascii="Times New Roman" w:hAnsi="Times New Roman" w:cs="Times New Roman"/>
          <w:b/>
          <w:sz w:val="24"/>
          <w:szCs w:val="24"/>
        </w:rPr>
        <w:t xml:space="preserve">: </w:t>
      </w:r>
      <w:r w:rsidRPr="004C31E2">
        <w:rPr>
          <w:rFonts w:ascii="Times New Roman" w:hAnsi="Times New Roman" w:cs="Times New Roman"/>
          <w:sz w:val="24"/>
          <w:szCs w:val="24"/>
        </w:rPr>
        <w:t>To be eligible for a waiver,</w:t>
      </w:r>
      <w:r w:rsidRPr="004C31E2">
        <w:rPr>
          <w:rFonts w:ascii="Times New Roman" w:hAnsi="Times New Roman" w:cs="Times New Roman"/>
          <w:b/>
          <w:sz w:val="24"/>
          <w:szCs w:val="24"/>
        </w:rPr>
        <w:t xml:space="preserve"> </w:t>
      </w:r>
      <w:r w:rsidRPr="004C31E2">
        <w:rPr>
          <w:rFonts w:ascii="Times New Roman" w:hAnsi="Times New Roman" w:cs="Times New Roman"/>
          <w:sz w:val="24"/>
          <w:szCs w:val="24"/>
        </w:rPr>
        <w:t xml:space="preserve">NPs and PAs must complete 24 hours of approved training that covers the following topics: opioid maintenance and detoxification; clinical use of all FDA-approved drugs for medication-assisted treatment; patient assessment; treatment planning; psychosocial services; staff roles; and diversion control. NPs and PAs who are approved to prescribe buprenorphine must be supervised by or work in collaboration with a qualifying physician if required by law in their state. NP/PA will be limited to 30 patients at a time in the first year and then can apply to HHS for an extended waiver to 100.   </w:t>
      </w:r>
    </w:p>
    <w:p w:rsidR="00056996" w:rsidRPr="00B92D83" w:rsidRDefault="00056996" w:rsidP="00056996">
      <w:pPr>
        <w:spacing w:after="0" w:line="240" w:lineRule="auto"/>
        <w:rPr>
          <w:rFonts w:ascii="Times New Roman" w:eastAsia="Times New Roman" w:hAnsi="Times New Roman" w:cs="Times New Roman"/>
          <w:sz w:val="24"/>
          <w:szCs w:val="24"/>
        </w:rPr>
      </w:pPr>
      <w:r w:rsidRPr="00B92D83">
        <w:rPr>
          <w:rFonts w:ascii="Times New Roman" w:eastAsia="Times New Roman" w:hAnsi="Times New Roman" w:cs="Times New Roman"/>
          <w:b/>
          <w:smallCaps/>
          <w:sz w:val="24"/>
          <w:szCs w:val="24"/>
        </w:rPr>
        <w:t>Referrals</w:t>
      </w:r>
      <w:r w:rsidRPr="00B92D83">
        <w:rPr>
          <w:rFonts w:ascii="Times New Roman" w:eastAsia="Times New Roman" w:hAnsi="Times New Roman" w:cs="Times New Roman"/>
          <w:b/>
          <w:sz w:val="24"/>
          <w:szCs w:val="24"/>
        </w:rPr>
        <w:t>:</w:t>
      </w:r>
      <w:r w:rsidRPr="00B92D83">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roviders</w:t>
      </w:r>
      <w:r w:rsidRPr="00B92D83">
        <w:rPr>
          <w:rFonts w:ascii="Times New Roman" w:eastAsia="Times New Roman" w:hAnsi="Times New Roman" w:cs="Times New Roman"/>
          <w:sz w:val="24"/>
          <w:szCs w:val="24"/>
        </w:rPr>
        <w:t xml:space="preserve"> must be able to refer patients to counseling or psychiatric services.</w:t>
      </w:r>
      <w:r>
        <w:rPr>
          <w:rFonts w:ascii="Times New Roman" w:eastAsia="Times New Roman" w:hAnsi="Times New Roman" w:cs="Times New Roman"/>
          <w:sz w:val="24"/>
          <w:szCs w:val="24"/>
        </w:rPr>
        <w:br/>
      </w:r>
    </w:p>
    <w:p w:rsidR="00056996" w:rsidRDefault="00056996" w:rsidP="00056996">
      <w:pPr>
        <w:spacing w:after="0" w:line="240" w:lineRule="auto"/>
        <w:rPr>
          <w:rFonts w:ascii="Times New Roman" w:eastAsia="Times New Roman" w:hAnsi="Times New Roman" w:cs="Times New Roman"/>
          <w:sz w:val="24"/>
          <w:szCs w:val="24"/>
        </w:rPr>
      </w:pPr>
      <w:r w:rsidRPr="00B92D83">
        <w:rPr>
          <w:rFonts w:ascii="Times New Roman" w:eastAsia="Times New Roman" w:hAnsi="Times New Roman" w:cs="Times New Roman"/>
          <w:b/>
          <w:smallCaps/>
          <w:sz w:val="24"/>
          <w:szCs w:val="24"/>
        </w:rPr>
        <w:lastRenderedPageBreak/>
        <w:t>Patient Limits</w:t>
      </w:r>
      <w:r w:rsidRPr="00B92D83">
        <w:rPr>
          <w:rFonts w:ascii="Times New Roman" w:eastAsia="Times New Roman" w:hAnsi="Times New Roman" w:cs="Times New Roman"/>
          <w:b/>
          <w:sz w:val="24"/>
          <w:szCs w:val="24"/>
        </w:rPr>
        <w:t>:</w:t>
      </w:r>
      <w:r w:rsidRPr="00B92D83">
        <w:rPr>
          <w:rFonts w:ascii="Times New Roman" w:eastAsia="Times New Roman" w:hAnsi="Times New Roman" w:cs="Times New Roman"/>
          <w:sz w:val="24"/>
          <w:szCs w:val="24"/>
        </w:rPr>
        <w:t xml:space="preserve"> For the first year of receiving a waiver, p</w:t>
      </w:r>
      <w:r>
        <w:rPr>
          <w:rFonts w:ascii="Times New Roman" w:eastAsia="Times New Roman" w:hAnsi="Times New Roman" w:cs="Times New Roman"/>
          <w:sz w:val="24"/>
          <w:szCs w:val="24"/>
        </w:rPr>
        <w:t>rovider</w:t>
      </w:r>
      <w:r w:rsidRPr="00B92D83">
        <w:rPr>
          <w:rFonts w:ascii="Times New Roman" w:eastAsia="Times New Roman" w:hAnsi="Times New Roman" w:cs="Times New Roman"/>
          <w:sz w:val="24"/>
          <w:szCs w:val="24"/>
        </w:rPr>
        <w:t>s are limited to treating 30 active patients at any given time; after the first year, they are limited to treating 100 patients at any given time. (</w:t>
      </w:r>
      <w:r>
        <w:rPr>
          <w:rFonts w:ascii="Times New Roman" w:eastAsia="Times New Roman" w:hAnsi="Times New Roman" w:cs="Times New Roman"/>
          <w:sz w:val="24"/>
          <w:szCs w:val="24"/>
        </w:rPr>
        <w:t>e.g.,</w:t>
      </w:r>
      <w:r w:rsidRPr="00892955">
        <w:rPr>
          <w:rFonts w:ascii="Times New Roman" w:eastAsia="Times New Roman" w:hAnsi="Times New Roman" w:cs="Times New Roman"/>
          <w:sz w:val="24"/>
          <w:szCs w:val="24"/>
        </w:rPr>
        <w:t xml:space="preserve"> prescription written for 30 days, patient is discharged, that patient continues to count under that physician number until the end of that 30 day prescription.</w:t>
      </w:r>
      <w:r w:rsidRPr="00B92D83">
        <w:rPr>
          <w:rFonts w:ascii="Times New Roman" w:eastAsia="Times New Roman" w:hAnsi="Times New Roman" w:cs="Times New Roman"/>
          <w:sz w:val="24"/>
          <w:szCs w:val="24"/>
        </w:rPr>
        <w:t>) To become eligible to treat up to 100 patients per provider</w:t>
      </w:r>
      <w:r>
        <w:rPr>
          <w:rFonts w:ascii="Times New Roman" w:eastAsia="Times New Roman" w:hAnsi="Times New Roman" w:cs="Times New Roman"/>
          <w:sz w:val="24"/>
          <w:szCs w:val="24"/>
        </w:rPr>
        <w:t>,</w:t>
      </w:r>
      <w:r w:rsidRPr="00B92D83">
        <w:rPr>
          <w:rFonts w:ascii="Times New Roman" w:eastAsia="Times New Roman" w:hAnsi="Times New Roman" w:cs="Times New Roman"/>
          <w:sz w:val="24"/>
          <w:szCs w:val="24"/>
        </w:rPr>
        <w:t xml:space="preserve"> the provider needs to apply to CSAT for the extended waiver prior to increasing to 100 patients.</w:t>
      </w:r>
      <w:r>
        <w:rPr>
          <w:rFonts w:ascii="Times New Roman" w:eastAsia="Times New Roman" w:hAnsi="Times New Roman" w:cs="Times New Roman"/>
          <w:sz w:val="24"/>
          <w:szCs w:val="24"/>
        </w:rPr>
        <w:t xml:space="preserve"> </w:t>
      </w:r>
    </w:p>
    <w:p w:rsidR="00056996" w:rsidRDefault="00056996" w:rsidP="00056996">
      <w:pPr>
        <w:spacing w:after="0" w:line="240" w:lineRule="auto"/>
        <w:ind w:left="720"/>
        <w:rPr>
          <w:rFonts w:ascii="Times New Roman" w:eastAsia="Times New Roman" w:hAnsi="Times New Roman" w:cs="Times New Roman"/>
          <w:sz w:val="24"/>
          <w:szCs w:val="24"/>
        </w:rPr>
      </w:pPr>
    </w:p>
    <w:p w:rsidR="00056996" w:rsidRPr="004D40D6" w:rsidRDefault="00056996" w:rsidP="00056996">
      <w:pPr>
        <w:spacing w:after="0" w:line="240" w:lineRule="auto"/>
        <w:rPr>
          <w:rFonts w:ascii="Times New Roman" w:eastAsia="Times New Roman" w:hAnsi="Times New Roman" w:cs="Times New Roman"/>
          <w:sz w:val="24"/>
          <w:szCs w:val="24"/>
        </w:rPr>
      </w:pPr>
      <w:r w:rsidRPr="004D40D6">
        <w:rPr>
          <w:rFonts w:ascii="Times New Roman" w:eastAsia="Times New Roman" w:hAnsi="Times New Roman" w:cs="Times New Roman"/>
          <w:sz w:val="24"/>
          <w:szCs w:val="24"/>
        </w:rPr>
        <w:t xml:space="preserve">Recent legislation has expanded limits for eligible physicians to treat up to 275 patients, </w:t>
      </w:r>
      <w:r>
        <w:rPr>
          <w:rFonts w:ascii="Times New Roman" w:eastAsia="Times New Roman" w:hAnsi="Times New Roman" w:cs="Times New Roman"/>
          <w:sz w:val="24"/>
          <w:szCs w:val="24"/>
        </w:rPr>
        <w:t xml:space="preserve">but </w:t>
      </w:r>
      <w:r w:rsidRPr="004D40D6">
        <w:rPr>
          <w:rFonts w:ascii="Times New Roman" w:eastAsia="Times New Roman" w:hAnsi="Times New Roman" w:cs="Times New Roman"/>
          <w:sz w:val="24"/>
          <w:szCs w:val="24"/>
        </w:rPr>
        <w:t>the rule does not extend prescribing authority to other clinicians. Eligible physicians must complete a ‘Request for Patient Increase Form’ and receive approval prior to increase. To be eligible for a patient limit of 275</w:t>
      </w:r>
      <w:r>
        <w:rPr>
          <w:rFonts w:ascii="Times New Roman" w:eastAsia="Times New Roman" w:hAnsi="Times New Roman" w:cs="Times New Roman"/>
          <w:sz w:val="24"/>
          <w:szCs w:val="24"/>
        </w:rPr>
        <w:t>,</w:t>
      </w:r>
      <w:r w:rsidRPr="004D40D6">
        <w:rPr>
          <w:rFonts w:ascii="Times New Roman" w:eastAsia="Times New Roman" w:hAnsi="Times New Roman" w:cs="Times New Roman"/>
          <w:sz w:val="24"/>
          <w:szCs w:val="24"/>
        </w:rPr>
        <w:t xml:space="preserve"> a physician must have a current waiver to treat up to 100 patients, and must have maintained that waiver for at least one year without interruption. </w:t>
      </w:r>
    </w:p>
    <w:p w:rsidR="00056996" w:rsidRPr="004D40D6" w:rsidRDefault="00056996" w:rsidP="00056996">
      <w:pPr>
        <w:pStyle w:val="ListParagraph"/>
      </w:pPr>
    </w:p>
    <w:p w:rsidR="00056996" w:rsidRPr="004D40D6" w:rsidRDefault="00056996" w:rsidP="00056996">
      <w:pPr>
        <w:rPr>
          <w:rFonts w:ascii="Times New Roman" w:hAnsi="Times New Roman" w:cs="Times New Roman"/>
          <w:sz w:val="24"/>
          <w:szCs w:val="24"/>
        </w:rPr>
      </w:pPr>
      <w:r w:rsidRPr="004D40D6">
        <w:rPr>
          <w:rFonts w:ascii="Times New Roman" w:hAnsi="Times New Roman" w:cs="Times New Roman"/>
          <w:sz w:val="24"/>
          <w:szCs w:val="24"/>
        </w:rPr>
        <w:t xml:space="preserve">Physicians wishing to increase to a patient limit of 275 must also meet one of the following requirements: </w:t>
      </w:r>
    </w:p>
    <w:p w:rsidR="00056996" w:rsidRDefault="00056996" w:rsidP="00056996">
      <w:pPr>
        <w:pStyle w:val="ListParagraph"/>
        <w:numPr>
          <w:ilvl w:val="0"/>
          <w:numId w:val="3"/>
        </w:numPr>
      </w:pPr>
      <w:r>
        <w:t>Hold a board certification in</w:t>
      </w:r>
      <w:r w:rsidRPr="00B92D83">
        <w:t xml:space="preserve"> addiction psychiatry </w:t>
      </w:r>
      <w:r w:rsidRPr="004259A7">
        <w:t>or addiction medicine</w:t>
      </w:r>
    </w:p>
    <w:p w:rsidR="00056996" w:rsidRDefault="00056996" w:rsidP="00056996">
      <w:pPr>
        <w:pStyle w:val="ListParagraph"/>
        <w:numPr>
          <w:ilvl w:val="1"/>
          <w:numId w:val="3"/>
        </w:numPr>
        <w:spacing w:before="240"/>
      </w:pPr>
      <w:r>
        <w:t xml:space="preserve">Certifying agencies: </w:t>
      </w:r>
      <w:r w:rsidRPr="004259A7">
        <w:t>American Board of Medical Specialties</w:t>
      </w:r>
      <w:r>
        <w:t xml:space="preserve"> (ABMS)</w:t>
      </w:r>
      <w:r w:rsidRPr="004259A7">
        <w:t>, American Society of Addiction Medicine</w:t>
      </w:r>
      <w:r>
        <w:t xml:space="preserve"> (ASAM)</w:t>
      </w:r>
      <w:r w:rsidRPr="004259A7">
        <w:t>, American Board of Addiction Medicine</w:t>
      </w:r>
      <w:r>
        <w:t xml:space="preserve"> (ABAM)</w:t>
      </w:r>
      <w:r w:rsidRPr="004259A7">
        <w:t>, American Osteopathic Academy of Addiction Medicine</w:t>
      </w:r>
    </w:p>
    <w:p w:rsidR="00056996" w:rsidRPr="004259A7" w:rsidRDefault="00056996" w:rsidP="00056996">
      <w:pPr>
        <w:pStyle w:val="ListParagraph"/>
        <w:ind w:left="1440"/>
      </w:pPr>
    </w:p>
    <w:p w:rsidR="00056996" w:rsidRDefault="00056996" w:rsidP="00056996">
      <w:pPr>
        <w:pStyle w:val="ListParagraph"/>
        <w:ind w:left="1530"/>
        <w:jc w:val="center"/>
      </w:pPr>
      <w:r w:rsidRPr="00B92D83">
        <w:t>–OR–</w:t>
      </w:r>
    </w:p>
    <w:p w:rsidR="00056996" w:rsidRDefault="00056996" w:rsidP="00056996">
      <w:pPr>
        <w:pStyle w:val="ListParagraph"/>
        <w:numPr>
          <w:ilvl w:val="0"/>
          <w:numId w:val="3"/>
        </w:numPr>
      </w:pPr>
      <w:r>
        <w:t xml:space="preserve">Practice in a “qualified practice setting.” </w:t>
      </w:r>
    </w:p>
    <w:p w:rsidR="00056996" w:rsidRPr="007B2338" w:rsidRDefault="00056996" w:rsidP="00056996">
      <w:pPr>
        <w:pStyle w:val="ListParagraph"/>
        <w:numPr>
          <w:ilvl w:val="1"/>
          <w:numId w:val="3"/>
        </w:numPr>
        <w:spacing w:before="240"/>
      </w:pPr>
      <w:r>
        <w:t xml:space="preserve">A “qualified practice setting” must: provide professional coverage for patient emergencies during hours when the practice is closed, provide access to case-management services, accept third-party payment for health service costs, utilize health information technology, and be registered by their state prescription drug monitoring program where operational.  </w:t>
      </w:r>
    </w:p>
    <w:p w:rsidR="00056996" w:rsidRDefault="00056996" w:rsidP="00056996">
      <w:pPr>
        <w:spacing w:after="0" w:line="240" w:lineRule="auto"/>
        <w:ind w:left="720"/>
        <w:rPr>
          <w:rFonts w:ascii="Times New Roman" w:eastAsia="Times New Roman" w:hAnsi="Times New Roman" w:cs="Times New Roman"/>
          <w:sz w:val="24"/>
          <w:szCs w:val="24"/>
        </w:rPr>
      </w:pPr>
    </w:p>
    <w:p w:rsidR="00056996" w:rsidRPr="005B70FF" w:rsidRDefault="00056996" w:rsidP="00056996">
      <w:pPr>
        <w:spacing w:line="240" w:lineRule="auto"/>
        <w:rPr>
          <w:rFonts w:ascii="Times New Roman" w:hAnsi="Times New Roman" w:cs="Times New Roman"/>
          <w:b/>
          <w:smallCaps/>
          <w:sz w:val="24"/>
          <w:szCs w:val="24"/>
        </w:rPr>
      </w:pPr>
      <w:r w:rsidRPr="005B70FF">
        <w:rPr>
          <w:rStyle w:val="SubtleReference"/>
          <w:rFonts w:ascii="Times New Roman" w:hAnsi="Times New Roman" w:cs="Times New Roman"/>
          <w:b/>
          <w:sz w:val="24"/>
          <w:szCs w:val="24"/>
        </w:rPr>
        <w:t xml:space="preserve">naltrexone </w:t>
      </w:r>
    </w:p>
    <w:p w:rsidR="00056996" w:rsidRDefault="00056996" w:rsidP="00056996">
      <w:pPr>
        <w:spacing w:after="0" w:line="240" w:lineRule="auto"/>
        <w:rPr>
          <w:rFonts w:ascii="Times New Roman" w:eastAsia="Times New Roman" w:hAnsi="Times New Roman" w:cs="Times New Roman"/>
          <w:sz w:val="24"/>
          <w:szCs w:val="24"/>
        </w:rPr>
      </w:pPr>
      <w:r w:rsidRPr="00B0748A">
        <w:rPr>
          <w:rFonts w:ascii="Times New Roman" w:eastAsia="Times New Roman" w:hAnsi="Times New Roman" w:cs="Times New Roman"/>
          <w:sz w:val="24"/>
          <w:szCs w:val="24"/>
        </w:rPr>
        <w:t>Naltrexone is not a scheduled medication and therefore does not require</w:t>
      </w:r>
      <w:r w:rsidRPr="00092E0D">
        <w:rPr>
          <w:rFonts w:ascii="Times New Roman" w:eastAsia="Times New Roman" w:hAnsi="Times New Roman" w:cs="Times New Roman"/>
          <w:sz w:val="24"/>
          <w:szCs w:val="24"/>
        </w:rPr>
        <w:t xml:space="preserve"> a</w:t>
      </w:r>
      <w:r w:rsidRPr="00B0748A">
        <w:rPr>
          <w:rFonts w:ascii="Times New Roman" w:eastAsia="Times New Roman" w:hAnsi="Times New Roman" w:cs="Times New Roman"/>
          <w:sz w:val="24"/>
          <w:szCs w:val="24"/>
        </w:rPr>
        <w:t xml:space="preserve"> special licensure</w:t>
      </w:r>
      <w:r w:rsidRPr="00092E0D">
        <w:rPr>
          <w:rFonts w:ascii="Times New Roman" w:eastAsia="Times New Roman" w:hAnsi="Times New Roman" w:cs="Times New Roman"/>
          <w:sz w:val="24"/>
          <w:szCs w:val="24"/>
        </w:rPr>
        <w:t>, certification,</w:t>
      </w:r>
      <w:r w:rsidRPr="00B0748A">
        <w:rPr>
          <w:rFonts w:ascii="Times New Roman" w:eastAsia="Times New Roman" w:hAnsi="Times New Roman" w:cs="Times New Roman"/>
          <w:sz w:val="24"/>
          <w:szCs w:val="24"/>
        </w:rPr>
        <w:t xml:space="preserve"> or waiver to prescribe. Any individual who is licensed to prescribe medication (physician, nurse practitioner or physician assistant) may prescribe and/or administer naltrexone. </w:t>
      </w:r>
      <w:r w:rsidRPr="00092E0D">
        <w:rPr>
          <w:rFonts w:ascii="Times New Roman" w:eastAsia="Times New Roman" w:hAnsi="Times New Roman" w:cs="Times New Roman"/>
          <w:sz w:val="24"/>
          <w:szCs w:val="24"/>
        </w:rPr>
        <w:t xml:space="preserve">There is no limit to the number of patients that a provider could legally treat with naltrexone. </w:t>
      </w:r>
      <w:r w:rsidRPr="00B0748A">
        <w:rPr>
          <w:rFonts w:ascii="Times New Roman" w:eastAsia="Times New Roman" w:hAnsi="Times New Roman" w:cs="Times New Roman"/>
          <w:sz w:val="24"/>
          <w:szCs w:val="24"/>
        </w:rPr>
        <w:t>However, when treating patients with substance use disorders, i</w:t>
      </w:r>
      <w:r>
        <w:rPr>
          <w:rFonts w:ascii="Times New Roman" w:eastAsia="Times New Roman" w:hAnsi="Times New Roman" w:cs="Times New Roman"/>
          <w:sz w:val="24"/>
          <w:szCs w:val="24"/>
        </w:rPr>
        <w:t xml:space="preserve">t is important that </w:t>
      </w:r>
      <w:r w:rsidRPr="00B0748A">
        <w:rPr>
          <w:rFonts w:ascii="Times New Roman" w:eastAsia="Times New Roman" w:hAnsi="Times New Roman" w:cs="Times New Roman"/>
          <w:sz w:val="24"/>
          <w:szCs w:val="24"/>
        </w:rPr>
        <w:t>providers understand the nature of the underlying disorder, the pharmacological properties of available medications, and the importance of pa</w:t>
      </w:r>
      <w:r>
        <w:rPr>
          <w:rFonts w:ascii="Times New Roman" w:eastAsia="Times New Roman" w:hAnsi="Times New Roman" w:cs="Times New Roman"/>
          <w:sz w:val="24"/>
          <w:szCs w:val="24"/>
        </w:rPr>
        <w:t>tient selection and monitoring.</w:t>
      </w:r>
    </w:p>
    <w:p w:rsidR="00056996" w:rsidRDefault="00056996" w:rsidP="00056996">
      <w:pPr>
        <w:spacing w:after="0" w:line="240" w:lineRule="auto"/>
        <w:rPr>
          <w:rFonts w:ascii="Times New Roman" w:eastAsia="Times New Roman" w:hAnsi="Times New Roman" w:cs="Times New Roman"/>
          <w:sz w:val="24"/>
          <w:szCs w:val="24"/>
        </w:rPr>
      </w:pPr>
    </w:p>
    <w:p w:rsidR="00056996" w:rsidRDefault="00056996">
      <w:pPr>
        <w:spacing w:after="160" w:line="259" w:lineRule="auto"/>
        <w:rPr>
          <w:rStyle w:val="SubtleReference"/>
          <w:sz w:val="32"/>
          <w:szCs w:val="32"/>
        </w:rPr>
      </w:pPr>
      <w:r>
        <w:rPr>
          <w:rStyle w:val="SubtleReference"/>
          <w:sz w:val="32"/>
          <w:szCs w:val="32"/>
        </w:rPr>
        <w:br w:type="page"/>
      </w:r>
    </w:p>
    <w:p w:rsidR="00056996" w:rsidRPr="00CD3E58" w:rsidRDefault="00056996" w:rsidP="00056996">
      <w:pPr>
        <w:keepNext/>
        <w:spacing w:before="240" w:after="60" w:line="240" w:lineRule="auto"/>
        <w:outlineLvl w:val="1"/>
        <w:rPr>
          <w:rFonts w:ascii="Times New Roman" w:eastAsia="Times New Roman" w:hAnsi="Times New Roman" w:cs="Times New Roman"/>
          <w:sz w:val="24"/>
          <w:szCs w:val="24"/>
        </w:rPr>
      </w:pPr>
      <w:r w:rsidRPr="00B92D83">
        <w:rPr>
          <w:rStyle w:val="SubtleReference"/>
          <w:sz w:val="32"/>
          <w:szCs w:val="32"/>
        </w:rPr>
        <w:lastRenderedPageBreak/>
        <w:t>Nurse Care Managers</w:t>
      </w:r>
      <w:r>
        <w:rPr>
          <w:rStyle w:val="SubtleReference"/>
          <w:sz w:val="32"/>
          <w:szCs w:val="32"/>
        </w:rPr>
        <w:t xml:space="preserve"> (If utilizing this service delivery model</w:t>
      </w:r>
      <w:proofErr w:type="gramStart"/>
      <w:r>
        <w:rPr>
          <w:rStyle w:val="SubtleReference"/>
          <w:sz w:val="32"/>
          <w:szCs w:val="32"/>
        </w:rPr>
        <w:t>)</w:t>
      </w:r>
      <w:proofErr w:type="gramEnd"/>
      <w:r>
        <w:rPr>
          <w:rStyle w:val="SubtleReference"/>
          <w:sz w:val="32"/>
          <w:szCs w:val="32"/>
        </w:rPr>
        <w:br/>
      </w:r>
      <w:r w:rsidRPr="00CD3E58">
        <w:rPr>
          <w:rFonts w:ascii="Times New Roman" w:eastAsia="Times New Roman" w:hAnsi="Times New Roman" w:cs="Times New Roman"/>
          <w:sz w:val="24"/>
          <w:szCs w:val="24"/>
        </w:rPr>
        <w:t>Licensed to practice nursing in the state for which they are practicing.</w:t>
      </w:r>
      <w:r w:rsidRPr="00CD3E58">
        <w:rPr>
          <w:rFonts w:ascii="Times New Roman" w:eastAsia="Times New Roman" w:hAnsi="Times New Roman" w:cs="Times New Roman"/>
          <w:sz w:val="24"/>
          <w:szCs w:val="24"/>
        </w:rPr>
        <w:br/>
      </w:r>
    </w:p>
    <w:p w:rsidR="00056996" w:rsidRPr="000647C2" w:rsidRDefault="00056996" w:rsidP="00056996">
      <w:pPr>
        <w:numPr>
          <w:ilvl w:val="0"/>
          <w:numId w:val="3"/>
        </w:numPr>
        <w:spacing w:after="0" w:line="240" w:lineRule="auto"/>
        <w:rPr>
          <w:rFonts w:ascii="Times New Roman" w:eastAsia="Times New Roman" w:hAnsi="Times New Roman" w:cs="Times New Roman"/>
          <w:sz w:val="24"/>
          <w:szCs w:val="24"/>
        </w:rPr>
      </w:pPr>
      <w:r w:rsidRPr="00CD3E58">
        <w:rPr>
          <w:rFonts w:ascii="Times New Roman" w:eastAsia="Times New Roman" w:hAnsi="Times New Roman" w:cs="Times New Roman"/>
          <w:sz w:val="24"/>
          <w:szCs w:val="24"/>
        </w:rPr>
        <w:t xml:space="preserve">Complete an initial 8-hour nurse care management training curriculum: </w:t>
      </w:r>
      <w:r w:rsidRPr="00CD3E58">
        <w:rPr>
          <w:rFonts w:ascii="Times New Roman" w:eastAsia="Times New Roman" w:hAnsi="Times New Roman" w:cs="Times New Roman"/>
          <w:sz w:val="24"/>
          <w:szCs w:val="24"/>
        </w:rPr>
        <w:br/>
      </w:r>
      <w:r>
        <w:rPr>
          <w:rFonts w:ascii="Times New Roman" w:eastAsia="Times New Roman" w:hAnsi="Times New Roman" w:cs="Times New Roman"/>
          <w:sz w:val="24"/>
          <w:szCs w:val="24"/>
        </w:rPr>
        <w:t>Office Based</w:t>
      </w:r>
      <w:r w:rsidRPr="00CD3E58">
        <w:rPr>
          <w:rFonts w:ascii="Times New Roman" w:eastAsia="Times New Roman" w:hAnsi="Times New Roman" w:cs="Times New Roman"/>
          <w:sz w:val="24"/>
          <w:szCs w:val="24"/>
        </w:rPr>
        <w:t xml:space="preserve"> treatment with buprenorphine/naloxone, including the use of buprenorphine/naloxone for the treatment of opioid use disorder in the office setting, based on the TAP 30. Training regarding the use of naltrexone for the treatment of alcohol use disorder and prevention of relapse to opioid dependence. </w:t>
      </w:r>
      <w:r w:rsidRPr="00CD3E58">
        <w:rPr>
          <w:rFonts w:ascii="Times New Roman" w:eastAsia="Times New Roman" w:hAnsi="Times New Roman" w:cs="Times New Roman"/>
          <w:sz w:val="24"/>
          <w:szCs w:val="24"/>
        </w:rPr>
        <w:br/>
      </w:r>
    </w:p>
    <w:p w:rsidR="00056996" w:rsidRDefault="00056996" w:rsidP="00056996">
      <w:pPr>
        <w:spacing w:after="0" w:line="240" w:lineRule="auto"/>
        <w:rPr>
          <w:rFonts w:ascii="Times New Roman" w:hAnsi="Times New Roman" w:cs="Times New Roman"/>
          <w:sz w:val="24"/>
          <w:szCs w:val="24"/>
        </w:rPr>
      </w:pPr>
      <w:r w:rsidRPr="00CD3E58">
        <w:rPr>
          <w:rFonts w:ascii="Times New Roman" w:hAnsi="Times New Roman" w:cs="Times New Roman"/>
          <w:b/>
          <w:smallCaps/>
          <w:sz w:val="24"/>
          <w:szCs w:val="24"/>
        </w:rPr>
        <w:t>Curriculum Includes</w:t>
      </w:r>
      <w:r w:rsidRPr="00CD3E58">
        <w:rPr>
          <w:rFonts w:ascii="Times New Roman" w:hAnsi="Times New Roman" w:cs="Times New Roman"/>
          <w:sz w:val="24"/>
          <w:szCs w:val="24"/>
        </w:rPr>
        <w:t xml:space="preserve">: </w:t>
      </w:r>
    </w:p>
    <w:p w:rsidR="00056996" w:rsidRPr="002B6C7F" w:rsidRDefault="00056996" w:rsidP="00056996">
      <w:pPr>
        <w:spacing w:after="0" w:line="240" w:lineRule="auto"/>
        <w:ind w:left="720"/>
        <w:rPr>
          <w:rFonts w:ascii="Times New Roman" w:hAnsi="Times New Roman" w:cs="Times New Roman"/>
          <w:sz w:val="24"/>
          <w:szCs w:val="24"/>
        </w:rPr>
      </w:pPr>
    </w:p>
    <w:p w:rsidR="00056996" w:rsidRPr="002B6C7F" w:rsidRDefault="00056996" w:rsidP="00056996">
      <w:pPr>
        <w:pStyle w:val="ListParagraph"/>
        <w:numPr>
          <w:ilvl w:val="0"/>
          <w:numId w:val="4"/>
        </w:numPr>
      </w:pPr>
      <w:r w:rsidRPr="002B6C7F">
        <w:t xml:space="preserve">Legislative regulations, DEA requirements, pharmacology of buprenorphine/naloxone and naltrexone, considerations in determining patient appropriateness, induction and management procedures, guidelines for pain management, safety, storage, diversion, and psychological counseling during OBAT treatment including self-help and holistic supports, relapse, special circumstances such as pregnancy, adolescence, elderly, chronic disease, surgery, pain management, HIV, and </w:t>
      </w:r>
      <w:r>
        <w:t>h</w:t>
      </w:r>
      <w:r w:rsidRPr="002B6C7F">
        <w:t>epatitis C.</w:t>
      </w:r>
    </w:p>
    <w:p w:rsidR="00056996" w:rsidRPr="00CD3E58" w:rsidRDefault="00056996" w:rsidP="00056996">
      <w:pPr>
        <w:spacing w:after="0" w:line="240" w:lineRule="auto"/>
        <w:ind w:left="720"/>
        <w:rPr>
          <w:rFonts w:ascii="Times New Roman" w:hAnsi="Times New Roman" w:cs="Times New Roman"/>
          <w:sz w:val="24"/>
          <w:szCs w:val="24"/>
        </w:rPr>
      </w:pPr>
    </w:p>
    <w:p w:rsidR="00056996" w:rsidRPr="00CD3E58" w:rsidRDefault="00056996" w:rsidP="00056996">
      <w:pPr>
        <w:numPr>
          <w:ilvl w:val="0"/>
          <w:numId w:val="3"/>
        </w:numPr>
        <w:spacing w:after="0" w:line="240" w:lineRule="auto"/>
        <w:rPr>
          <w:rFonts w:ascii="Times New Roman" w:eastAsia="Times New Roman" w:hAnsi="Times New Roman" w:cs="Times New Roman"/>
          <w:sz w:val="24"/>
          <w:szCs w:val="24"/>
        </w:rPr>
      </w:pPr>
      <w:r w:rsidRPr="00CD3E58">
        <w:rPr>
          <w:rFonts w:ascii="Times New Roman" w:eastAsia="Times New Roman" w:hAnsi="Times New Roman" w:cs="Times New Roman"/>
          <w:sz w:val="24"/>
          <w:szCs w:val="24"/>
        </w:rPr>
        <w:t>Attend “booster trainings” on topics relevant to OBAT program (</w:t>
      </w:r>
      <w:r>
        <w:rPr>
          <w:rFonts w:ascii="Times New Roman" w:eastAsia="Times New Roman" w:hAnsi="Times New Roman" w:cs="Times New Roman"/>
          <w:sz w:val="24"/>
          <w:szCs w:val="24"/>
        </w:rPr>
        <w:t>e.g., h</w:t>
      </w:r>
      <w:r w:rsidRPr="00CD3E58">
        <w:rPr>
          <w:rFonts w:ascii="Times New Roman" w:eastAsia="Times New Roman" w:hAnsi="Times New Roman" w:cs="Times New Roman"/>
          <w:sz w:val="24"/>
          <w:szCs w:val="24"/>
        </w:rPr>
        <w:t xml:space="preserve">epatitis C </w:t>
      </w:r>
      <w:r>
        <w:rPr>
          <w:rFonts w:ascii="Times New Roman" w:eastAsia="Times New Roman" w:hAnsi="Times New Roman" w:cs="Times New Roman"/>
          <w:sz w:val="24"/>
          <w:szCs w:val="24"/>
        </w:rPr>
        <w:t>t</w:t>
      </w:r>
      <w:r w:rsidRPr="00CD3E58">
        <w:rPr>
          <w:rFonts w:ascii="Times New Roman" w:eastAsia="Times New Roman" w:hAnsi="Times New Roman" w:cs="Times New Roman"/>
          <w:sz w:val="24"/>
          <w:szCs w:val="24"/>
        </w:rPr>
        <w:t xml:space="preserve">reatment and </w:t>
      </w:r>
      <w:r>
        <w:rPr>
          <w:rFonts w:ascii="Times New Roman" w:eastAsia="Times New Roman" w:hAnsi="Times New Roman" w:cs="Times New Roman"/>
          <w:sz w:val="24"/>
          <w:szCs w:val="24"/>
        </w:rPr>
        <w:t>m</w:t>
      </w:r>
      <w:r w:rsidRPr="00CD3E58">
        <w:rPr>
          <w:rFonts w:ascii="Times New Roman" w:eastAsia="Times New Roman" w:hAnsi="Times New Roman" w:cs="Times New Roman"/>
          <w:sz w:val="24"/>
          <w:szCs w:val="24"/>
        </w:rPr>
        <w:t xml:space="preserve">anagement, </w:t>
      </w:r>
      <w:r>
        <w:rPr>
          <w:rFonts w:ascii="Times New Roman" w:eastAsia="Times New Roman" w:hAnsi="Times New Roman" w:cs="Times New Roman"/>
          <w:sz w:val="24"/>
          <w:szCs w:val="24"/>
        </w:rPr>
        <w:t>u</w:t>
      </w:r>
      <w:r w:rsidRPr="00CD3E58">
        <w:rPr>
          <w:rFonts w:ascii="Times New Roman" w:eastAsia="Times New Roman" w:hAnsi="Times New Roman" w:cs="Times New Roman"/>
          <w:sz w:val="24"/>
          <w:szCs w:val="24"/>
        </w:rPr>
        <w:t xml:space="preserve">rine </w:t>
      </w:r>
      <w:r>
        <w:rPr>
          <w:rFonts w:ascii="Times New Roman" w:eastAsia="Times New Roman" w:hAnsi="Times New Roman" w:cs="Times New Roman"/>
          <w:sz w:val="24"/>
          <w:szCs w:val="24"/>
        </w:rPr>
        <w:t>t</w:t>
      </w:r>
      <w:r w:rsidRPr="00CD3E58">
        <w:rPr>
          <w:rFonts w:ascii="Times New Roman" w:eastAsia="Times New Roman" w:hAnsi="Times New Roman" w:cs="Times New Roman"/>
          <w:sz w:val="24"/>
          <w:szCs w:val="24"/>
        </w:rPr>
        <w:t>oxicology</w:t>
      </w:r>
      <w:r>
        <w:rPr>
          <w:rFonts w:ascii="Times New Roman" w:eastAsia="Times New Roman" w:hAnsi="Times New Roman" w:cs="Times New Roman"/>
          <w:sz w:val="24"/>
          <w:szCs w:val="24"/>
        </w:rPr>
        <w:t xml:space="preserve"> screening [UTS]</w:t>
      </w:r>
      <w:r w:rsidRPr="00CD3E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Pr="00CD3E58">
        <w:rPr>
          <w:rFonts w:ascii="Times New Roman" w:eastAsia="Times New Roman" w:hAnsi="Times New Roman" w:cs="Times New Roman"/>
          <w:sz w:val="24"/>
          <w:szCs w:val="24"/>
        </w:rPr>
        <w:t xml:space="preserve">elapse </w:t>
      </w:r>
      <w:r>
        <w:rPr>
          <w:rFonts w:ascii="Times New Roman" w:eastAsia="Times New Roman" w:hAnsi="Times New Roman" w:cs="Times New Roman"/>
          <w:sz w:val="24"/>
          <w:szCs w:val="24"/>
        </w:rPr>
        <w:t>p</w:t>
      </w:r>
      <w:r w:rsidRPr="00CD3E58">
        <w:rPr>
          <w:rFonts w:ascii="Times New Roman" w:eastAsia="Times New Roman" w:hAnsi="Times New Roman" w:cs="Times New Roman"/>
          <w:sz w:val="24"/>
          <w:szCs w:val="24"/>
        </w:rPr>
        <w:t xml:space="preserve">revention, </w:t>
      </w:r>
      <w:r>
        <w:rPr>
          <w:rFonts w:ascii="Times New Roman" w:eastAsia="Times New Roman" w:hAnsi="Times New Roman" w:cs="Times New Roman"/>
          <w:sz w:val="24"/>
          <w:szCs w:val="24"/>
        </w:rPr>
        <w:t>o</w:t>
      </w:r>
      <w:r w:rsidRPr="00CD3E58">
        <w:rPr>
          <w:rFonts w:ascii="Times New Roman" w:eastAsia="Times New Roman" w:hAnsi="Times New Roman" w:cs="Times New Roman"/>
          <w:sz w:val="24"/>
          <w:szCs w:val="24"/>
        </w:rPr>
        <w:t xml:space="preserve">verdose </w:t>
      </w:r>
      <w:r>
        <w:rPr>
          <w:rFonts w:ascii="Times New Roman" w:eastAsia="Times New Roman" w:hAnsi="Times New Roman" w:cs="Times New Roman"/>
          <w:sz w:val="24"/>
          <w:szCs w:val="24"/>
        </w:rPr>
        <w:t>p</w:t>
      </w:r>
      <w:r w:rsidRPr="00CD3E58">
        <w:rPr>
          <w:rFonts w:ascii="Times New Roman" w:eastAsia="Times New Roman" w:hAnsi="Times New Roman" w:cs="Times New Roman"/>
          <w:sz w:val="24"/>
          <w:szCs w:val="24"/>
        </w:rPr>
        <w:t xml:space="preserve">revention </w:t>
      </w:r>
      <w:r>
        <w:rPr>
          <w:rFonts w:ascii="Times New Roman" w:eastAsia="Times New Roman" w:hAnsi="Times New Roman" w:cs="Times New Roman"/>
          <w:sz w:val="24"/>
          <w:szCs w:val="24"/>
        </w:rPr>
        <w:t>e</w:t>
      </w:r>
      <w:r w:rsidRPr="00CD3E58">
        <w:rPr>
          <w:rFonts w:ascii="Times New Roman" w:eastAsia="Times New Roman" w:hAnsi="Times New Roman" w:cs="Times New Roman"/>
          <w:sz w:val="24"/>
          <w:szCs w:val="24"/>
        </w:rPr>
        <w:t xml:space="preserve">ducation, </w:t>
      </w:r>
      <w:r>
        <w:rPr>
          <w:rFonts w:ascii="Times New Roman" w:eastAsia="Times New Roman" w:hAnsi="Times New Roman" w:cs="Times New Roman"/>
          <w:sz w:val="24"/>
          <w:szCs w:val="24"/>
        </w:rPr>
        <w:t>m</w:t>
      </w:r>
      <w:r w:rsidRPr="00CD3E58">
        <w:rPr>
          <w:rFonts w:ascii="Times New Roman" w:eastAsia="Times New Roman" w:hAnsi="Times New Roman" w:cs="Times New Roman"/>
          <w:sz w:val="24"/>
          <w:szCs w:val="24"/>
        </w:rPr>
        <w:t xml:space="preserve">otivational </w:t>
      </w:r>
      <w:r>
        <w:rPr>
          <w:rFonts w:ascii="Times New Roman" w:eastAsia="Times New Roman" w:hAnsi="Times New Roman" w:cs="Times New Roman"/>
          <w:sz w:val="24"/>
          <w:szCs w:val="24"/>
        </w:rPr>
        <w:t>i</w:t>
      </w:r>
      <w:r w:rsidRPr="00CD3E58">
        <w:rPr>
          <w:rFonts w:ascii="Times New Roman" w:eastAsia="Times New Roman" w:hAnsi="Times New Roman" w:cs="Times New Roman"/>
          <w:sz w:val="24"/>
          <w:szCs w:val="24"/>
        </w:rPr>
        <w:t xml:space="preserve">nterviewing, </w:t>
      </w:r>
      <w:r>
        <w:rPr>
          <w:rFonts w:ascii="Times New Roman" w:eastAsia="Times New Roman" w:hAnsi="Times New Roman" w:cs="Times New Roman"/>
          <w:sz w:val="24"/>
          <w:szCs w:val="24"/>
        </w:rPr>
        <w:t>r</w:t>
      </w:r>
      <w:r w:rsidRPr="00CD3E58">
        <w:rPr>
          <w:rFonts w:ascii="Times New Roman" w:eastAsia="Times New Roman" w:hAnsi="Times New Roman" w:cs="Times New Roman"/>
          <w:sz w:val="24"/>
          <w:szCs w:val="24"/>
        </w:rPr>
        <w:t xml:space="preserve">etention, </w:t>
      </w:r>
      <w:r>
        <w:rPr>
          <w:rFonts w:ascii="Times New Roman" w:eastAsia="Times New Roman" w:hAnsi="Times New Roman" w:cs="Times New Roman"/>
          <w:sz w:val="24"/>
          <w:szCs w:val="24"/>
        </w:rPr>
        <w:t>h</w:t>
      </w:r>
      <w:r w:rsidRPr="00CD3E58">
        <w:rPr>
          <w:rFonts w:ascii="Times New Roman" w:eastAsia="Times New Roman" w:hAnsi="Times New Roman" w:cs="Times New Roman"/>
          <w:sz w:val="24"/>
          <w:szCs w:val="24"/>
        </w:rPr>
        <w:t xml:space="preserve">arm </w:t>
      </w:r>
      <w:r>
        <w:rPr>
          <w:rFonts w:ascii="Times New Roman" w:eastAsia="Times New Roman" w:hAnsi="Times New Roman" w:cs="Times New Roman"/>
          <w:sz w:val="24"/>
          <w:szCs w:val="24"/>
        </w:rPr>
        <w:t>r</w:t>
      </w:r>
      <w:r w:rsidRPr="00CD3E58">
        <w:rPr>
          <w:rFonts w:ascii="Times New Roman" w:eastAsia="Times New Roman" w:hAnsi="Times New Roman" w:cs="Times New Roman"/>
          <w:sz w:val="24"/>
          <w:szCs w:val="24"/>
        </w:rPr>
        <w:t xml:space="preserve">eduction, </w:t>
      </w:r>
      <w:r>
        <w:rPr>
          <w:rFonts w:ascii="Times New Roman" w:eastAsia="Times New Roman" w:hAnsi="Times New Roman" w:cs="Times New Roman"/>
          <w:sz w:val="24"/>
          <w:szCs w:val="24"/>
        </w:rPr>
        <w:t>compassion f</w:t>
      </w:r>
      <w:r w:rsidRPr="00CD3E58">
        <w:rPr>
          <w:rFonts w:ascii="Times New Roman" w:eastAsia="Times New Roman" w:hAnsi="Times New Roman" w:cs="Times New Roman"/>
          <w:sz w:val="24"/>
          <w:szCs w:val="24"/>
        </w:rPr>
        <w:t>atigue, case discussions, materials development, and networking)</w:t>
      </w:r>
      <w:r w:rsidRPr="00CD3E58">
        <w:rPr>
          <w:rFonts w:ascii="Times New Roman" w:eastAsia="Times New Roman" w:hAnsi="Times New Roman" w:cs="Times New Roman"/>
          <w:sz w:val="24"/>
          <w:szCs w:val="24"/>
        </w:rPr>
        <w:br/>
      </w:r>
    </w:p>
    <w:p w:rsidR="00056996" w:rsidRPr="00CD3E58" w:rsidRDefault="00056996" w:rsidP="00056996">
      <w:pPr>
        <w:spacing w:after="0" w:line="240" w:lineRule="auto"/>
        <w:rPr>
          <w:rFonts w:ascii="Times New Roman" w:eastAsia="Times New Roman" w:hAnsi="Times New Roman" w:cs="Times New Roman"/>
          <w:sz w:val="24"/>
          <w:szCs w:val="24"/>
        </w:rPr>
      </w:pPr>
      <w:r w:rsidRPr="00CD3E58">
        <w:rPr>
          <w:rFonts w:ascii="Times New Roman" w:eastAsia="Times New Roman" w:hAnsi="Times New Roman" w:cs="Times New Roman"/>
          <w:b/>
          <w:smallCaps/>
          <w:sz w:val="24"/>
          <w:szCs w:val="24"/>
        </w:rPr>
        <w:t>Responsibilities</w:t>
      </w:r>
      <w:r w:rsidRPr="00CD3E58">
        <w:rPr>
          <w:rFonts w:ascii="Times New Roman" w:eastAsia="Times New Roman" w:hAnsi="Times New Roman" w:cs="Times New Roman"/>
          <w:sz w:val="24"/>
          <w:szCs w:val="24"/>
        </w:rPr>
        <w:t>:</w:t>
      </w:r>
      <w:r w:rsidRPr="00CD3E58">
        <w:rPr>
          <w:rFonts w:ascii="Times New Roman" w:eastAsia="Times New Roman" w:hAnsi="Times New Roman" w:cs="Times New Roman"/>
          <w:sz w:val="24"/>
          <w:szCs w:val="24"/>
        </w:rPr>
        <w:br/>
      </w:r>
    </w:p>
    <w:p w:rsidR="00056996" w:rsidRPr="00CD3E58" w:rsidRDefault="00056996" w:rsidP="00056996">
      <w:pPr>
        <w:pStyle w:val="ListParagraph"/>
        <w:numPr>
          <w:ilvl w:val="0"/>
          <w:numId w:val="2"/>
        </w:numPr>
        <w:tabs>
          <w:tab w:val="clear" w:pos="720"/>
          <w:tab w:val="num" w:pos="1440"/>
        </w:tabs>
        <w:ind w:left="1440"/>
      </w:pPr>
      <w:r w:rsidRPr="00CD3E58">
        <w:t>Oversight of buprenorphine/naloxone and naltrexone intake assessment, induction, stabilization, maintenance and relapse management.</w:t>
      </w:r>
      <w:r w:rsidRPr="00CD3E58">
        <w:br/>
      </w:r>
    </w:p>
    <w:p w:rsidR="00056996" w:rsidRPr="00CD3E58" w:rsidRDefault="00056996" w:rsidP="00056996">
      <w:pPr>
        <w:pStyle w:val="ListParagraph"/>
        <w:numPr>
          <w:ilvl w:val="0"/>
          <w:numId w:val="2"/>
        </w:numPr>
        <w:tabs>
          <w:tab w:val="clear" w:pos="720"/>
          <w:tab w:val="num" w:pos="1440"/>
        </w:tabs>
        <w:ind w:left="1440"/>
      </w:pPr>
      <w:r w:rsidRPr="00CD3E58">
        <w:t xml:space="preserve">Ensuring that state and federal guidelines are followed, and collaborating as needed with OBAT provider, social worker/counselors, psychiatrists, pharmacy, primary care physician, and specialty care physicians to whom the patient has been referred. </w:t>
      </w:r>
      <w:r w:rsidRPr="00CD3E58">
        <w:br/>
      </w:r>
    </w:p>
    <w:p w:rsidR="00056996" w:rsidRPr="00CD3E58" w:rsidRDefault="00056996" w:rsidP="00056996">
      <w:pPr>
        <w:pStyle w:val="ListParagraph"/>
        <w:numPr>
          <w:ilvl w:val="0"/>
          <w:numId w:val="2"/>
        </w:numPr>
        <w:tabs>
          <w:tab w:val="clear" w:pos="720"/>
          <w:tab w:val="num" w:pos="1440"/>
        </w:tabs>
        <w:ind w:left="1440"/>
      </w:pPr>
      <w:r w:rsidRPr="00CD3E58">
        <w:t>Coordinating between OBAT provider and pharmacy: obtain medication history, assist with prescription processing and refills, prior authorizations, insurance issues, concerns of diversion, use, safety, storage, and behavioral health referrals.</w:t>
      </w:r>
    </w:p>
    <w:p w:rsidR="00056996" w:rsidRDefault="00056996" w:rsidP="00056996">
      <w:pPr>
        <w:spacing w:after="0" w:line="240" w:lineRule="auto"/>
        <w:rPr>
          <w:rStyle w:val="SubtleReference"/>
          <w:sz w:val="32"/>
          <w:szCs w:val="32"/>
        </w:rPr>
        <w:sectPr w:rsidR="00056996" w:rsidSect="00DB4ECE">
          <w:footerReference w:type="default" r:id="rId7"/>
          <w:pgSz w:w="12240" w:h="15840"/>
          <w:pgMar w:top="1440" w:right="1440" w:bottom="1440" w:left="1440" w:header="720" w:footer="720" w:gutter="0"/>
          <w:cols w:space="720"/>
          <w:docGrid w:linePitch="360"/>
        </w:sectPr>
      </w:pPr>
      <w:r w:rsidRPr="004D40D6">
        <w:rPr>
          <w:rFonts w:ascii="Times New Roman" w:eastAsia="Times New Roman" w:hAnsi="Times New Roman" w:cs="Times New Roman"/>
          <w:sz w:val="28"/>
          <w:szCs w:val="24"/>
        </w:rPr>
        <w:br/>
      </w:r>
      <w:bookmarkStart w:id="1" w:name="_Toc108011434"/>
    </w:p>
    <w:p w:rsidR="00056996" w:rsidRPr="005D771D" w:rsidRDefault="00056996" w:rsidP="00056996">
      <w:pPr>
        <w:spacing w:after="0" w:line="240" w:lineRule="auto"/>
        <w:rPr>
          <w:rStyle w:val="SubtleReference"/>
          <w:sz w:val="24"/>
          <w:szCs w:val="32"/>
        </w:rPr>
      </w:pPr>
      <w:r w:rsidRPr="00FF4F21">
        <w:rPr>
          <w:rStyle w:val="SubtleReference"/>
          <w:sz w:val="32"/>
          <w:szCs w:val="32"/>
        </w:rPr>
        <w:lastRenderedPageBreak/>
        <w:t>Program Manager</w:t>
      </w:r>
      <w:bookmarkEnd w:id="1"/>
      <w:r>
        <w:rPr>
          <w:rStyle w:val="SubtleReference"/>
          <w:sz w:val="32"/>
          <w:szCs w:val="32"/>
        </w:rPr>
        <w:br/>
      </w:r>
    </w:p>
    <w:p w:rsidR="00056996" w:rsidRPr="00607D87" w:rsidRDefault="00056996" w:rsidP="00056996">
      <w:pPr>
        <w:numPr>
          <w:ilvl w:val="0"/>
          <w:numId w:val="5"/>
        </w:numPr>
        <w:spacing w:after="0" w:line="240" w:lineRule="auto"/>
        <w:rPr>
          <w:rFonts w:ascii="Times New Roman" w:eastAsia="Times New Roman" w:hAnsi="Times New Roman" w:cs="Times New Roman"/>
          <w:sz w:val="24"/>
          <w:szCs w:val="24"/>
        </w:rPr>
      </w:pPr>
      <w:r w:rsidRPr="00607D87">
        <w:rPr>
          <w:rFonts w:ascii="Times New Roman" w:eastAsia="Times New Roman" w:hAnsi="Times New Roman" w:cs="Times New Roman"/>
          <w:sz w:val="24"/>
          <w:szCs w:val="24"/>
        </w:rPr>
        <w:t>Provides administrative support to the team: completes state reporting requirements, assists with resolving insurance issues, prior authorizations, patient scheduling, team meetings, staffing, program issues, meetings and supervision of data coordinator and hotline coordinator.</w:t>
      </w:r>
      <w:r>
        <w:rPr>
          <w:rFonts w:ascii="Times New Roman" w:eastAsia="Times New Roman" w:hAnsi="Times New Roman" w:cs="Times New Roman"/>
          <w:sz w:val="24"/>
          <w:szCs w:val="24"/>
        </w:rPr>
        <w:br/>
      </w:r>
    </w:p>
    <w:p w:rsidR="00056996" w:rsidRDefault="00056996" w:rsidP="00056996">
      <w:pPr>
        <w:numPr>
          <w:ilvl w:val="0"/>
          <w:numId w:val="5"/>
        </w:numPr>
        <w:spacing w:after="0" w:line="240" w:lineRule="auto"/>
        <w:rPr>
          <w:rFonts w:ascii="Times New Roman" w:eastAsia="Times New Roman" w:hAnsi="Times New Roman" w:cs="Times New Roman"/>
          <w:sz w:val="24"/>
          <w:szCs w:val="24"/>
        </w:rPr>
      </w:pPr>
      <w:r w:rsidRPr="00607D87">
        <w:rPr>
          <w:rFonts w:ascii="Times New Roman" w:eastAsia="Times New Roman" w:hAnsi="Times New Roman" w:cs="Times New Roman"/>
          <w:sz w:val="24"/>
          <w:szCs w:val="24"/>
        </w:rPr>
        <w:t>Manages p</w:t>
      </w:r>
      <w:r>
        <w:rPr>
          <w:rFonts w:ascii="Times New Roman" w:eastAsia="Times New Roman" w:hAnsi="Times New Roman" w:cs="Times New Roman"/>
          <w:sz w:val="24"/>
          <w:szCs w:val="24"/>
        </w:rPr>
        <w:t xml:space="preserve">rovider files (e.g., </w:t>
      </w:r>
      <w:r w:rsidRPr="00607D87">
        <w:rPr>
          <w:rFonts w:ascii="Times New Roman" w:eastAsia="Times New Roman" w:hAnsi="Times New Roman" w:cs="Times New Roman"/>
          <w:sz w:val="24"/>
          <w:szCs w:val="24"/>
        </w:rPr>
        <w:t xml:space="preserve">DEA numbers, </w:t>
      </w:r>
      <w:r>
        <w:rPr>
          <w:rFonts w:ascii="Times New Roman" w:eastAsia="Times New Roman" w:hAnsi="Times New Roman" w:cs="Times New Roman"/>
          <w:sz w:val="24"/>
          <w:szCs w:val="24"/>
        </w:rPr>
        <w:t>curriculum vitae</w:t>
      </w:r>
      <w:r w:rsidRPr="00607D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state licensure)</w:t>
      </w:r>
      <w:r w:rsidRPr="00607D87">
        <w:rPr>
          <w:rFonts w:ascii="Times New Roman" w:eastAsia="Times New Roman" w:hAnsi="Times New Roman" w:cs="Times New Roman"/>
          <w:sz w:val="24"/>
          <w:szCs w:val="24"/>
        </w:rPr>
        <w:t>.</w:t>
      </w:r>
    </w:p>
    <w:p w:rsidR="00056996" w:rsidRDefault="00056996" w:rsidP="00056996">
      <w:pPr>
        <w:spacing w:after="0" w:line="240" w:lineRule="auto"/>
        <w:ind w:left="720"/>
        <w:rPr>
          <w:rFonts w:ascii="Times New Roman" w:eastAsia="Times New Roman" w:hAnsi="Times New Roman" w:cs="Times New Roman"/>
          <w:sz w:val="24"/>
          <w:szCs w:val="24"/>
        </w:rPr>
      </w:pPr>
    </w:p>
    <w:p w:rsidR="00056996" w:rsidRPr="00607D87" w:rsidRDefault="00056996" w:rsidP="00056996">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Supports DEA site visits. </w:t>
      </w:r>
      <w:r w:rsidRPr="00607D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rsidR="00056996" w:rsidRPr="00607D87" w:rsidRDefault="00056996" w:rsidP="00056996">
      <w:pPr>
        <w:numPr>
          <w:ilvl w:val="0"/>
          <w:numId w:val="5"/>
        </w:numPr>
        <w:spacing w:after="0" w:line="240" w:lineRule="auto"/>
        <w:rPr>
          <w:rFonts w:ascii="Times New Roman" w:eastAsia="Times New Roman" w:hAnsi="Times New Roman" w:cs="Times New Roman"/>
          <w:sz w:val="24"/>
          <w:szCs w:val="24"/>
        </w:rPr>
      </w:pPr>
      <w:r w:rsidRPr="00607D87">
        <w:rPr>
          <w:rFonts w:ascii="Times New Roman" w:eastAsia="Times New Roman" w:hAnsi="Times New Roman" w:cs="Times New Roman"/>
          <w:sz w:val="24"/>
          <w:szCs w:val="24"/>
        </w:rPr>
        <w:t>Manage</w:t>
      </w:r>
      <w:r>
        <w:rPr>
          <w:rFonts w:ascii="Times New Roman" w:eastAsia="Times New Roman" w:hAnsi="Times New Roman" w:cs="Times New Roman"/>
          <w:sz w:val="24"/>
          <w:szCs w:val="24"/>
        </w:rPr>
        <w:t>s</w:t>
      </w:r>
      <w:r w:rsidRPr="00607D87">
        <w:rPr>
          <w:rFonts w:ascii="Times New Roman" w:eastAsia="Times New Roman" w:hAnsi="Times New Roman" w:cs="Times New Roman"/>
          <w:sz w:val="24"/>
          <w:szCs w:val="24"/>
        </w:rPr>
        <w:t xml:space="preserve"> insurance issues, keep</w:t>
      </w:r>
      <w:r>
        <w:rPr>
          <w:rFonts w:ascii="Times New Roman" w:eastAsia="Times New Roman" w:hAnsi="Times New Roman" w:cs="Times New Roman"/>
          <w:sz w:val="24"/>
          <w:szCs w:val="24"/>
        </w:rPr>
        <w:t>s</w:t>
      </w:r>
      <w:r w:rsidRPr="00607D87">
        <w:rPr>
          <w:rFonts w:ascii="Times New Roman" w:eastAsia="Times New Roman" w:hAnsi="Times New Roman" w:cs="Times New Roman"/>
          <w:sz w:val="24"/>
          <w:szCs w:val="24"/>
        </w:rPr>
        <w:t xml:space="preserve"> current with changes and pass</w:t>
      </w:r>
      <w:r>
        <w:rPr>
          <w:rFonts w:ascii="Times New Roman" w:eastAsia="Times New Roman" w:hAnsi="Times New Roman" w:cs="Times New Roman"/>
          <w:sz w:val="24"/>
          <w:szCs w:val="24"/>
        </w:rPr>
        <w:t>es</w:t>
      </w:r>
      <w:r w:rsidRPr="00607D87">
        <w:rPr>
          <w:rFonts w:ascii="Times New Roman" w:eastAsia="Times New Roman" w:hAnsi="Times New Roman" w:cs="Times New Roman"/>
          <w:sz w:val="24"/>
          <w:szCs w:val="24"/>
        </w:rPr>
        <w:t xml:space="preserve"> this information along as warranted.</w:t>
      </w:r>
      <w:r>
        <w:rPr>
          <w:rFonts w:ascii="Times New Roman" w:eastAsia="Times New Roman" w:hAnsi="Times New Roman" w:cs="Times New Roman"/>
          <w:sz w:val="24"/>
          <w:szCs w:val="24"/>
        </w:rPr>
        <w:br/>
      </w:r>
    </w:p>
    <w:p w:rsidR="00056996" w:rsidRPr="00607D87" w:rsidRDefault="00056996" w:rsidP="00056996">
      <w:pPr>
        <w:numPr>
          <w:ilvl w:val="0"/>
          <w:numId w:val="5"/>
        </w:numPr>
        <w:spacing w:after="0" w:line="240" w:lineRule="auto"/>
        <w:rPr>
          <w:rFonts w:ascii="Times New Roman" w:eastAsia="Times New Roman" w:hAnsi="Times New Roman" w:cs="Times New Roman"/>
          <w:sz w:val="24"/>
          <w:szCs w:val="24"/>
        </w:rPr>
      </w:pPr>
      <w:r w:rsidRPr="00607D87">
        <w:rPr>
          <w:rFonts w:ascii="Times New Roman" w:eastAsia="Times New Roman" w:hAnsi="Times New Roman" w:cs="Times New Roman"/>
          <w:sz w:val="24"/>
          <w:szCs w:val="24"/>
        </w:rPr>
        <w:t>Manages lists of patients per provider to assure compliance with DEA requirements.</w:t>
      </w:r>
      <w:r>
        <w:rPr>
          <w:rFonts w:ascii="Times New Roman" w:eastAsia="Times New Roman" w:hAnsi="Times New Roman" w:cs="Times New Roman"/>
          <w:sz w:val="24"/>
          <w:szCs w:val="24"/>
        </w:rPr>
        <w:br/>
      </w:r>
    </w:p>
    <w:p w:rsidR="00056996" w:rsidRPr="00607D87" w:rsidRDefault="00056996" w:rsidP="00056996">
      <w:pPr>
        <w:numPr>
          <w:ilvl w:val="0"/>
          <w:numId w:val="5"/>
        </w:numPr>
        <w:spacing w:after="0" w:line="240" w:lineRule="auto"/>
        <w:rPr>
          <w:rFonts w:ascii="Times New Roman" w:eastAsia="Times New Roman" w:hAnsi="Times New Roman" w:cs="Times New Roman"/>
          <w:sz w:val="24"/>
          <w:szCs w:val="24"/>
        </w:rPr>
      </w:pPr>
      <w:r w:rsidRPr="00607D87">
        <w:rPr>
          <w:rFonts w:ascii="Times New Roman" w:eastAsia="Times New Roman" w:hAnsi="Times New Roman" w:cs="Times New Roman"/>
          <w:sz w:val="24"/>
          <w:szCs w:val="24"/>
        </w:rPr>
        <w:t xml:space="preserve">Assists with program </w:t>
      </w:r>
      <w:r>
        <w:rPr>
          <w:rFonts w:ascii="Times New Roman" w:eastAsia="Times New Roman" w:hAnsi="Times New Roman" w:cs="Times New Roman"/>
          <w:sz w:val="24"/>
          <w:szCs w:val="24"/>
        </w:rPr>
        <w:t xml:space="preserve">and state </w:t>
      </w:r>
      <w:r w:rsidRPr="00607D87">
        <w:rPr>
          <w:rFonts w:ascii="Times New Roman" w:eastAsia="Times New Roman" w:hAnsi="Times New Roman" w:cs="Times New Roman"/>
          <w:sz w:val="24"/>
          <w:szCs w:val="24"/>
        </w:rPr>
        <w:t>requests for data.</w:t>
      </w:r>
      <w:r>
        <w:rPr>
          <w:rFonts w:ascii="Times New Roman" w:eastAsia="Times New Roman" w:hAnsi="Times New Roman" w:cs="Times New Roman"/>
          <w:sz w:val="24"/>
          <w:szCs w:val="24"/>
        </w:rPr>
        <w:br/>
      </w:r>
    </w:p>
    <w:p w:rsidR="00056996" w:rsidRPr="00607D87" w:rsidRDefault="00056996" w:rsidP="00056996">
      <w:pPr>
        <w:numPr>
          <w:ilvl w:val="0"/>
          <w:numId w:val="5"/>
        </w:numPr>
        <w:spacing w:after="0" w:line="240" w:lineRule="auto"/>
        <w:rPr>
          <w:rFonts w:ascii="Times New Roman" w:eastAsia="Times New Roman" w:hAnsi="Times New Roman" w:cs="Times New Roman"/>
          <w:sz w:val="24"/>
          <w:szCs w:val="24"/>
        </w:rPr>
      </w:pPr>
      <w:r w:rsidRPr="00607D87">
        <w:rPr>
          <w:rFonts w:ascii="Times New Roman" w:eastAsia="Times New Roman" w:hAnsi="Times New Roman" w:cs="Times New Roman"/>
          <w:sz w:val="24"/>
          <w:szCs w:val="24"/>
        </w:rPr>
        <w:t>Manages OB</w:t>
      </w:r>
      <w:r>
        <w:rPr>
          <w:rFonts w:ascii="Times New Roman" w:eastAsia="Times New Roman" w:hAnsi="Times New Roman" w:cs="Times New Roman"/>
          <w:sz w:val="24"/>
          <w:szCs w:val="24"/>
        </w:rPr>
        <w:t>A</w:t>
      </w:r>
      <w:r w:rsidRPr="00607D87">
        <w:rPr>
          <w:rFonts w:ascii="Times New Roman" w:eastAsia="Times New Roman" w:hAnsi="Times New Roman" w:cs="Times New Roman"/>
          <w:sz w:val="24"/>
          <w:szCs w:val="24"/>
        </w:rPr>
        <w:t xml:space="preserve">T provider meetings with </w:t>
      </w:r>
      <w:r>
        <w:rPr>
          <w:rFonts w:ascii="Times New Roman" w:eastAsia="Times New Roman" w:hAnsi="Times New Roman" w:cs="Times New Roman"/>
          <w:sz w:val="24"/>
          <w:szCs w:val="24"/>
        </w:rPr>
        <w:t>nurses, medical assistants</w:t>
      </w:r>
      <w:r w:rsidRPr="00607D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providers</w:t>
      </w:r>
      <w:r w:rsidRPr="00607D87">
        <w:rPr>
          <w:rFonts w:ascii="Times New Roman" w:eastAsia="Times New Roman" w:hAnsi="Times New Roman" w:cs="Times New Roman"/>
          <w:sz w:val="24"/>
          <w:szCs w:val="24"/>
        </w:rPr>
        <w:t>, medical director, project coordinator, and program director.</w:t>
      </w:r>
      <w:r>
        <w:rPr>
          <w:rFonts w:ascii="Times New Roman" w:eastAsia="Times New Roman" w:hAnsi="Times New Roman" w:cs="Times New Roman"/>
          <w:sz w:val="24"/>
          <w:szCs w:val="24"/>
        </w:rPr>
        <w:br/>
      </w:r>
    </w:p>
    <w:p w:rsidR="00056996" w:rsidRDefault="00056996" w:rsidP="00056996">
      <w:pPr>
        <w:numPr>
          <w:ilvl w:val="0"/>
          <w:numId w:val="5"/>
        </w:numPr>
        <w:spacing w:after="0" w:line="240" w:lineRule="auto"/>
        <w:rPr>
          <w:rFonts w:ascii="Times New Roman" w:eastAsia="Times New Roman" w:hAnsi="Times New Roman" w:cs="Times New Roman"/>
          <w:sz w:val="24"/>
          <w:szCs w:val="24"/>
        </w:rPr>
      </w:pPr>
      <w:r w:rsidRPr="00607D87">
        <w:rPr>
          <w:rFonts w:ascii="Times New Roman" w:eastAsia="Times New Roman" w:hAnsi="Times New Roman" w:cs="Times New Roman"/>
          <w:sz w:val="24"/>
          <w:szCs w:val="24"/>
        </w:rPr>
        <w:t>Collaborates with outside agencies as needed to foster relationships with OB</w:t>
      </w:r>
      <w:r>
        <w:rPr>
          <w:rFonts w:ascii="Times New Roman" w:eastAsia="Times New Roman" w:hAnsi="Times New Roman" w:cs="Times New Roman"/>
          <w:sz w:val="24"/>
          <w:szCs w:val="24"/>
        </w:rPr>
        <w:t>A</w:t>
      </w:r>
      <w:r w:rsidRPr="00607D87">
        <w:rPr>
          <w:rFonts w:ascii="Times New Roman" w:eastAsia="Times New Roman" w:hAnsi="Times New Roman" w:cs="Times New Roman"/>
          <w:sz w:val="24"/>
          <w:szCs w:val="24"/>
        </w:rPr>
        <w:t>T and better serve our patients (</w:t>
      </w:r>
      <w:r>
        <w:rPr>
          <w:rFonts w:ascii="Times New Roman" w:eastAsia="Times New Roman" w:hAnsi="Times New Roman" w:cs="Times New Roman"/>
          <w:sz w:val="24"/>
          <w:szCs w:val="24"/>
        </w:rPr>
        <w:t>e.g.,</w:t>
      </w:r>
      <w:r w:rsidRPr="00996BC7">
        <w:rPr>
          <w:rFonts w:ascii="Times New Roman" w:eastAsia="Times New Roman" w:hAnsi="Times New Roman" w:cs="Times New Roman"/>
          <w:sz w:val="24"/>
          <w:szCs w:val="24"/>
        </w:rPr>
        <w:t xml:space="preserve"> counseling services, </w:t>
      </w:r>
      <w:r>
        <w:rPr>
          <w:rFonts w:ascii="Times New Roman" w:eastAsia="Times New Roman" w:hAnsi="Times New Roman" w:cs="Times New Roman"/>
          <w:sz w:val="24"/>
          <w:szCs w:val="24"/>
        </w:rPr>
        <w:t xml:space="preserve">psychiatry, </w:t>
      </w:r>
      <w:r w:rsidRPr="00996BC7">
        <w:rPr>
          <w:rFonts w:ascii="Times New Roman" w:eastAsia="Times New Roman" w:hAnsi="Times New Roman" w:cs="Times New Roman"/>
          <w:sz w:val="24"/>
          <w:szCs w:val="24"/>
        </w:rPr>
        <w:t>Department of Children and Families, and Corrections</w:t>
      </w:r>
      <w:r w:rsidRPr="00607D87">
        <w:rPr>
          <w:rFonts w:ascii="Times New Roman" w:eastAsia="Times New Roman" w:hAnsi="Times New Roman" w:cs="Times New Roman"/>
          <w:sz w:val="24"/>
          <w:szCs w:val="24"/>
        </w:rPr>
        <w:t>).</w:t>
      </w:r>
    </w:p>
    <w:p w:rsidR="00056996" w:rsidRDefault="00056996" w:rsidP="00056996">
      <w:pPr>
        <w:spacing w:after="0" w:line="240" w:lineRule="auto"/>
        <w:ind w:left="720"/>
        <w:rPr>
          <w:rFonts w:ascii="Times New Roman" w:eastAsia="Times New Roman" w:hAnsi="Times New Roman" w:cs="Times New Roman"/>
          <w:sz w:val="24"/>
          <w:szCs w:val="24"/>
        </w:rPr>
      </w:pPr>
    </w:p>
    <w:p w:rsidR="00056996" w:rsidRDefault="00056996" w:rsidP="00056996">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Supports specialty programs (e.g., criminally involved, pregnant women, and adolescents)</w:t>
      </w:r>
    </w:p>
    <w:p w:rsidR="00056996" w:rsidRDefault="00056996" w:rsidP="00056996">
      <w:pPr>
        <w:spacing w:after="0" w:line="240" w:lineRule="auto"/>
        <w:rPr>
          <w:rFonts w:ascii="Times New Roman" w:eastAsia="Times New Roman" w:hAnsi="Times New Roman" w:cs="Times New Roman"/>
          <w:sz w:val="24"/>
          <w:szCs w:val="24"/>
        </w:rPr>
        <w:sectPr w:rsidR="00056996" w:rsidSect="00DB4ECE">
          <w:pgSz w:w="12240" w:h="15840"/>
          <w:pgMar w:top="1440" w:right="1440" w:bottom="1440" w:left="1440" w:header="720" w:footer="720" w:gutter="0"/>
          <w:cols w:space="720"/>
          <w:docGrid w:linePitch="360"/>
        </w:sectPr>
      </w:pPr>
    </w:p>
    <w:p w:rsidR="00056996" w:rsidRPr="00996BC7" w:rsidRDefault="00056996" w:rsidP="00056996">
      <w:pPr>
        <w:keepNext/>
        <w:spacing w:before="240" w:after="60" w:line="240" w:lineRule="auto"/>
        <w:outlineLvl w:val="0"/>
        <w:rPr>
          <w:rStyle w:val="IntenseReference"/>
          <w:b w:val="0"/>
          <w:sz w:val="32"/>
          <w:szCs w:val="32"/>
        </w:rPr>
      </w:pPr>
      <w:r w:rsidRPr="00996BC7">
        <w:rPr>
          <w:rStyle w:val="IntenseReference"/>
          <w:b w:val="0"/>
          <w:sz w:val="32"/>
          <w:szCs w:val="32"/>
        </w:rPr>
        <w:lastRenderedPageBreak/>
        <w:t>SAMHSA’s Center</w:t>
      </w:r>
      <w:r>
        <w:rPr>
          <w:rStyle w:val="IntenseReference"/>
          <w:b w:val="0"/>
          <w:sz w:val="32"/>
          <w:szCs w:val="32"/>
        </w:rPr>
        <w:t xml:space="preserve"> for Substance Abuse Treatment </w:t>
      </w:r>
      <w:r w:rsidRPr="00996BC7">
        <w:rPr>
          <w:rStyle w:val="IntenseReference"/>
          <w:b w:val="0"/>
          <w:sz w:val="32"/>
          <w:szCs w:val="32"/>
        </w:rPr>
        <w:t xml:space="preserve">(CSAT) Division of Pharmacologic Therapies </w:t>
      </w:r>
    </w:p>
    <w:p w:rsidR="00056996" w:rsidRDefault="00056996" w:rsidP="00056996">
      <w:pPr>
        <w:spacing w:after="0" w:line="240" w:lineRule="auto"/>
        <w:rPr>
          <w:rFonts w:ascii="Times New Roman" w:eastAsia="Times New Roman" w:hAnsi="Times New Roman" w:cs="Times New Roman"/>
          <w:sz w:val="24"/>
          <w:szCs w:val="24"/>
        </w:rPr>
      </w:pPr>
    </w:p>
    <w:p w:rsidR="00056996" w:rsidRPr="004D5A32" w:rsidRDefault="00056996" w:rsidP="00056996">
      <w:pPr>
        <w:spacing w:after="0" w:line="240" w:lineRule="auto"/>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BUPRENORPHINE ADMINISTRATIVE REQUIREMENTS</w:t>
      </w:r>
      <w:r w:rsidRPr="004D5A32">
        <w:rPr>
          <w:rStyle w:val="Emphasis"/>
          <w:rFonts w:ascii="Times New Roman" w:hAnsi="Times New Roman" w:cs="Times New Roman"/>
          <w:b/>
          <w:i w:val="0"/>
          <w:sz w:val="24"/>
          <w:szCs w:val="24"/>
        </w:rPr>
        <w:br/>
      </w:r>
    </w:p>
    <w:p w:rsidR="00056996" w:rsidRPr="00FF4F21" w:rsidRDefault="00056996" w:rsidP="00056996">
      <w:pPr>
        <w:numPr>
          <w:ilvl w:val="0"/>
          <w:numId w:val="6"/>
        </w:numPr>
        <w:spacing w:after="0" w:line="240" w:lineRule="auto"/>
        <w:rPr>
          <w:rFonts w:ascii="Times New Roman" w:eastAsia="Times New Roman" w:hAnsi="Times New Roman" w:cs="Times New Roman"/>
          <w:sz w:val="24"/>
          <w:szCs w:val="24"/>
        </w:rPr>
      </w:pPr>
      <w:r w:rsidRPr="00FF4F21">
        <w:rPr>
          <w:rFonts w:ascii="Times New Roman" w:eastAsia="Times New Roman" w:hAnsi="Times New Roman" w:cs="Times New Roman"/>
          <w:sz w:val="24"/>
          <w:szCs w:val="24"/>
        </w:rPr>
        <w:t>Certification</w:t>
      </w:r>
      <w:r>
        <w:rPr>
          <w:rFonts w:ascii="Times New Roman" w:eastAsia="Times New Roman" w:hAnsi="Times New Roman" w:cs="Times New Roman"/>
          <w:sz w:val="24"/>
          <w:szCs w:val="24"/>
        </w:rPr>
        <w:t>,</w:t>
      </w:r>
      <w:r w:rsidRPr="00FF4F21">
        <w:rPr>
          <w:rFonts w:ascii="Times New Roman" w:eastAsia="Times New Roman" w:hAnsi="Times New Roman" w:cs="Times New Roman"/>
          <w:sz w:val="24"/>
          <w:szCs w:val="24"/>
        </w:rPr>
        <w:t xml:space="preserve"> accreditation and waiver approval.</w:t>
      </w:r>
      <w:r>
        <w:rPr>
          <w:rFonts w:ascii="Times New Roman" w:eastAsia="Times New Roman" w:hAnsi="Times New Roman" w:cs="Times New Roman"/>
          <w:sz w:val="24"/>
          <w:szCs w:val="24"/>
        </w:rPr>
        <w:br/>
      </w:r>
    </w:p>
    <w:p w:rsidR="00056996" w:rsidRDefault="00056996" w:rsidP="00056996">
      <w:pPr>
        <w:numPr>
          <w:ilvl w:val="0"/>
          <w:numId w:val="6"/>
        </w:numPr>
        <w:spacing w:after="0" w:line="240" w:lineRule="auto"/>
        <w:rPr>
          <w:rFonts w:ascii="Times New Roman" w:eastAsia="Times New Roman" w:hAnsi="Times New Roman" w:cs="Times New Roman"/>
          <w:sz w:val="24"/>
          <w:szCs w:val="24"/>
        </w:rPr>
      </w:pPr>
      <w:r w:rsidRPr="00FF4F21">
        <w:rPr>
          <w:rFonts w:ascii="Times New Roman" w:eastAsia="Times New Roman" w:hAnsi="Times New Roman" w:cs="Times New Roman"/>
          <w:sz w:val="24"/>
          <w:szCs w:val="24"/>
        </w:rPr>
        <w:t>Provide training for p</w:t>
      </w:r>
      <w:r>
        <w:rPr>
          <w:rFonts w:ascii="Times New Roman" w:eastAsia="Times New Roman" w:hAnsi="Times New Roman" w:cs="Times New Roman"/>
          <w:sz w:val="24"/>
          <w:szCs w:val="24"/>
        </w:rPr>
        <w:t>rescriber</w:t>
      </w:r>
      <w:r w:rsidRPr="00FF4F21">
        <w:rPr>
          <w:rFonts w:ascii="Times New Roman" w:eastAsia="Times New Roman" w:hAnsi="Times New Roman" w:cs="Times New Roman"/>
          <w:sz w:val="24"/>
          <w:szCs w:val="24"/>
        </w:rPr>
        <w:t xml:space="preserve">s and </w:t>
      </w:r>
      <w:r>
        <w:rPr>
          <w:rFonts w:ascii="Times New Roman" w:eastAsia="Times New Roman" w:hAnsi="Times New Roman" w:cs="Times New Roman"/>
          <w:sz w:val="24"/>
          <w:szCs w:val="24"/>
        </w:rPr>
        <w:t>addiction</w:t>
      </w:r>
      <w:r w:rsidRPr="00FF4F21">
        <w:rPr>
          <w:rFonts w:ascii="Times New Roman" w:eastAsia="Times New Roman" w:hAnsi="Times New Roman" w:cs="Times New Roman"/>
          <w:sz w:val="24"/>
          <w:szCs w:val="24"/>
        </w:rPr>
        <w:t xml:space="preserve"> professionals on the use of medications in the treatment of opioid dependence.</w:t>
      </w:r>
    </w:p>
    <w:p w:rsidR="00056996" w:rsidRDefault="00056996" w:rsidP="00056996">
      <w:pPr>
        <w:spacing w:after="0" w:line="240" w:lineRule="auto"/>
        <w:ind w:left="720"/>
        <w:rPr>
          <w:rFonts w:ascii="Times New Roman" w:eastAsia="Times New Roman" w:hAnsi="Times New Roman" w:cs="Times New Roman"/>
          <w:sz w:val="24"/>
          <w:szCs w:val="24"/>
        </w:rPr>
      </w:pPr>
    </w:p>
    <w:p w:rsidR="00056996" w:rsidRPr="00FF4F21" w:rsidRDefault="00056996" w:rsidP="00056996">
      <w:pPr>
        <w:numPr>
          <w:ilvl w:val="0"/>
          <w:numId w:val="6"/>
        </w:numPr>
        <w:spacing w:after="0" w:line="240" w:lineRule="auto"/>
        <w:rPr>
          <w:rFonts w:ascii="Times New Roman" w:eastAsia="Times New Roman" w:hAnsi="Times New Roman" w:cs="Times New Roman"/>
          <w:sz w:val="24"/>
          <w:szCs w:val="24"/>
        </w:rPr>
      </w:pPr>
      <w:r w:rsidRPr="00FF4F21">
        <w:rPr>
          <w:rFonts w:ascii="Times New Roman" w:eastAsia="Times New Roman" w:hAnsi="Times New Roman" w:cs="Times New Roman"/>
          <w:sz w:val="24"/>
          <w:szCs w:val="24"/>
        </w:rPr>
        <w:t>Maintain accurate p</w:t>
      </w:r>
      <w:r>
        <w:rPr>
          <w:rFonts w:ascii="Times New Roman" w:eastAsia="Times New Roman" w:hAnsi="Times New Roman" w:cs="Times New Roman"/>
          <w:sz w:val="24"/>
          <w:szCs w:val="24"/>
        </w:rPr>
        <w:t>rovider</w:t>
      </w:r>
      <w:r w:rsidRPr="00FF4F21">
        <w:rPr>
          <w:rFonts w:ascii="Times New Roman" w:eastAsia="Times New Roman" w:hAnsi="Times New Roman" w:cs="Times New Roman"/>
          <w:sz w:val="24"/>
          <w:szCs w:val="24"/>
        </w:rPr>
        <w:t xml:space="preserve"> records.</w:t>
      </w:r>
      <w:r>
        <w:rPr>
          <w:rFonts w:ascii="Times New Roman" w:eastAsia="Times New Roman" w:hAnsi="Times New Roman" w:cs="Times New Roman"/>
          <w:sz w:val="24"/>
          <w:szCs w:val="24"/>
        </w:rPr>
        <w:br/>
      </w:r>
    </w:p>
    <w:p w:rsidR="00056996" w:rsidRPr="00FF4F21" w:rsidRDefault="00056996" w:rsidP="00056996">
      <w:pPr>
        <w:numPr>
          <w:ilvl w:val="0"/>
          <w:numId w:val="6"/>
        </w:numPr>
        <w:spacing w:after="0" w:line="240" w:lineRule="auto"/>
        <w:rPr>
          <w:rFonts w:ascii="Times New Roman" w:eastAsia="Times New Roman" w:hAnsi="Times New Roman" w:cs="Times New Roman"/>
          <w:sz w:val="24"/>
          <w:szCs w:val="24"/>
        </w:rPr>
      </w:pPr>
      <w:r w:rsidRPr="00FF4F21">
        <w:rPr>
          <w:rFonts w:ascii="Times New Roman" w:eastAsia="Times New Roman" w:hAnsi="Times New Roman" w:cs="Times New Roman"/>
          <w:sz w:val="24"/>
          <w:szCs w:val="24"/>
        </w:rPr>
        <w:t>Records on dispensation of buprenorphine and buprenorphine/naloxone must be kept in accordance with DEA regulations for controlled substances as described in 21 CFR 1304.03(b).</w:t>
      </w:r>
      <w:r>
        <w:rPr>
          <w:rFonts w:ascii="Times New Roman" w:eastAsia="Times New Roman" w:hAnsi="Times New Roman" w:cs="Times New Roman"/>
          <w:sz w:val="24"/>
          <w:szCs w:val="24"/>
        </w:rPr>
        <w:br/>
      </w:r>
    </w:p>
    <w:p w:rsidR="00056996" w:rsidRPr="004D40D6" w:rsidRDefault="00056996" w:rsidP="00056996">
      <w:pPr>
        <w:numPr>
          <w:ilvl w:val="0"/>
          <w:numId w:val="6"/>
        </w:numPr>
        <w:spacing w:after="0" w:line="240" w:lineRule="auto"/>
        <w:rPr>
          <w:rFonts w:ascii="Times New Roman" w:eastAsia="Times New Roman" w:hAnsi="Times New Roman" w:cs="Times New Roman"/>
          <w:sz w:val="24"/>
          <w:szCs w:val="24"/>
        </w:rPr>
      </w:pPr>
      <w:r w:rsidRPr="004D40D6">
        <w:rPr>
          <w:rFonts w:ascii="Times New Roman" w:eastAsia="Times New Roman" w:hAnsi="Times New Roman" w:cs="Times New Roman"/>
          <w:sz w:val="24"/>
          <w:szCs w:val="24"/>
        </w:rPr>
        <w:t>Records on prescription and dispensation of medications for the detoxification and maintenance treatment of opioid dependence must be kept in accordance with DEA regulations 21 CFR 1304.03(c)</w:t>
      </w:r>
    </w:p>
    <w:p w:rsidR="00056996" w:rsidRPr="004D40D6" w:rsidRDefault="00056996" w:rsidP="00056996">
      <w:pPr>
        <w:numPr>
          <w:ilvl w:val="1"/>
          <w:numId w:val="7"/>
        </w:numPr>
        <w:spacing w:before="240" w:after="0" w:line="240" w:lineRule="auto"/>
        <w:rPr>
          <w:rFonts w:ascii="Times New Roman" w:eastAsia="Times New Roman" w:hAnsi="Times New Roman" w:cs="Times New Roman"/>
          <w:sz w:val="24"/>
          <w:szCs w:val="24"/>
        </w:rPr>
      </w:pPr>
      <w:r w:rsidRPr="004D40D6">
        <w:rPr>
          <w:rFonts w:ascii="Times New Roman" w:hAnsi="Times New Roman" w:cs="Times New Roman"/>
          <w:sz w:val="24"/>
          <w:szCs w:val="24"/>
        </w:rPr>
        <w:t>Maintain log to include patient identifier, name, dose, and quantity of drug prescribed/dispensed, and date.</w:t>
      </w:r>
    </w:p>
    <w:p w:rsidR="00056996" w:rsidRPr="004D40D6" w:rsidRDefault="00056996" w:rsidP="00056996">
      <w:pPr>
        <w:numPr>
          <w:ilvl w:val="1"/>
          <w:numId w:val="7"/>
        </w:numPr>
        <w:spacing w:before="240" w:after="0" w:line="240" w:lineRule="auto"/>
        <w:rPr>
          <w:rFonts w:ascii="Times New Roman" w:eastAsia="Times New Roman" w:hAnsi="Times New Roman" w:cs="Times New Roman"/>
          <w:sz w:val="24"/>
          <w:szCs w:val="24"/>
        </w:rPr>
      </w:pPr>
      <w:r w:rsidRPr="004D40D6">
        <w:rPr>
          <w:rFonts w:ascii="Times New Roman" w:hAnsi="Times New Roman" w:cs="Times New Roman"/>
          <w:sz w:val="24"/>
          <w:szCs w:val="24"/>
        </w:rPr>
        <w:t xml:space="preserve">Requirement may be fulfilled by keeping copies of prescriptions in the patient record. Electronic medical records where the prescription records can be accessed fills this requirement and there is no need to keep copies of the prescriptions in your office.  </w:t>
      </w:r>
    </w:p>
    <w:p w:rsidR="008C7769" w:rsidRDefault="00056996" w:rsidP="00B97CFA">
      <w:pPr>
        <w:keepNext/>
        <w:numPr>
          <w:ilvl w:val="0"/>
          <w:numId w:val="1"/>
        </w:numPr>
        <w:spacing w:before="240" w:after="0" w:line="240" w:lineRule="auto"/>
        <w:ind w:right="360"/>
        <w:outlineLvl w:val="1"/>
        <w:rPr>
          <w:rFonts w:ascii="Times New Roman" w:eastAsia="Times New Roman" w:hAnsi="Times New Roman" w:cs="Times New Roman"/>
          <w:sz w:val="24"/>
          <w:szCs w:val="24"/>
        </w:rPr>
      </w:pPr>
      <w:r w:rsidRPr="00056996">
        <w:rPr>
          <w:rFonts w:ascii="Times New Roman" w:eastAsia="Times New Roman" w:hAnsi="Times New Roman" w:cs="Times New Roman"/>
          <w:sz w:val="24"/>
          <w:szCs w:val="24"/>
        </w:rPr>
        <w:t>For DATA 2000 compliance, DEA only needs to review records for medications used in the treatment of opioid dependence; therefore, an option is to keep separate records for these medications to facilitate the review.</w:t>
      </w:r>
    </w:p>
    <w:p w:rsidR="00056996" w:rsidRDefault="0005699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56996" w:rsidRPr="009F5774" w:rsidRDefault="00056996" w:rsidP="00056996">
      <w:pPr>
        <w:rPr>
          <w:rStyle w:val="SubtleReference"/>
          <w:sz w:val="32"/>
          <w:szCs w:val="32"/>
        </w:rPr>
      </w:pPr>
      <w:r>
        <w:rPr>
          <w:rStyle w:val="SubtleReference"/>
          <w:sz w:val="32"/>
          <w:szCs w:val="32"/>
        </w:rPr>
        <w:lastRenderedPageBreak/>
        <w:t>Program Expectations</w:t>
      </w:r>
    </w:p>
    <w:p w:rsidR="00056996" w:rsidRPr="009E7716" w:rsidRDefault="00056996" w:rsidP="00056996">
      <w:pPr>
        <w:pStyle w:val="ListParagraph"/>
        <w:numPr>
          <w:ilvl w:val="0"/>
          <w:numId w:val="1"/>
        </w:numPr>
        <w:tabs>
          <w:tab w:val="clear" w:pos="720"/>
          <w:tab w:val="num" w:pos="1440"/>
        </w:tabs>
        <w:ind w:left="1440"/>
      </w:pPr>
      <w:r w:rsidRPr="009E7716">
        <w:t xml:space="preserve">Appointment frequency with nursing and </w:t>
      </w:r>
      <w:r>
        <w:t>provider</w:t>
      </w:r>
      <w:r>
        <w:t>.</w:t>
      </w:r>
      <w:r w:rsidRPr="009E7716">
        <w:br/>
      </w:r>
    </w:p>
    <w:p w:rsidR="00056996" w:rsidRPr="009E7716" w:rsidRDefault="00056996" w:rsidP="00056996">
      <w:pPr>
        <w:pStyle w:val="ListParagraph"/>
        <w:numPr>
          <w:ilvl w:val="0"/>
          <w:numId w:val="1"/>
        </w:numPr>
        <w:tabs>
          <w:tab w:val="clear" w:pos="720"/>
          <w:tab w:val="num" w:pos="1440"/>
        </w:tabs>
        <w:ind w:left="1440"/>
      </w:pPr>
      <w:r w:rsidRPr="009E7716">
        <w:t>Counseling requirement and psych</w:t>
      </w:r>
      <w:r>
        <w:t>iatric</w:t>
      </w:r>
      <w:r w:rsidRPr="009E7716">
        <w:t xml:space="preserve"> assessment and follow</w:t>
      </w:r>
      <w:r>
        <w:t>-</w:t>
      </w:r>
      <w:r w:rsidRPr="009E7716">
        <w:t>up if warranted.</w:t>
      </w:r>
      <w:r w:rsidRPr="009E7716">
        <w:br/>
      </w:r>
    </w:p>
    <w:p w:rsidR="00056996" w:rsidRPr="009E7716" w:rsidRDefault="00056996" w:rsidP="00056996">
      <w:pPr>
        <w:pStyle w:val="ListParagraph"/>
        <w:numPr>
          <w:ilvl w:val="0"/>
          <w:numId w:val="1"/>
        </w:numPr>
        <w:tabs>
          <w:tab w:val="clear" w:pos="720"/>
          <w:tab w:val="num" w:pos="1440"/>
        </w:tabs>
        <w:ind w:left="1440"/>
      </w:pPr>
      <w:r w:rsidRPr="009E7716">
        <w:t xml:space="preserve">Medication refills. </w:t>
      </w:r>
      <w:r w:rsidRPr="009E7716">
        <w:br/>
      </w:r>
    </w:p>
    <w:p w:rsidR="00056996" w:rsidRPr="009E7716" w:rsidRDefault="00056996" w:rsidP="00056996">
      <w:pPr>
        <w:pStyle w:val="ListParagraph"/>
        <w:numPr>
          <w:ilvl w:val="0"/>
          <w:numId w:val="1"/>
        </w:numPr>
        <w:tabs>
          <w:tab w:val="clear" w:pos="720"/>
          <w:tab w:val="num" w:pos="1440"/>
        </w:tabs>
        <w:ind w:left="1440"/>
      </w:pPr>
      <w:r>
        <w:t>Relapse prevention and</w:t>
      </w:r>
      <w:r w:rsidRPr="009E7716">
        <w:t xml:space="preserve"> support.</w:t>
      </w:r>
      <w:r w:rsidRPr="009E7716">
        <w:br/>
      </w:r>
    </w:p>
    <w:p w:rsidR="00056996" w:rsidRPr="009E7716" w:rsidRDefault="00056996" w:rsidP="00056996">
      <w:pPr>
        <w:pStyle w:val="ListParagraph"/>
        <w:numPr>
          <w:ilvl w:val="0"/>
          <w:numId w:val="1"/>
        </w:numPr>
        <w:tabs>
          <w:tab w:val="clear" w:pos="720"/>
          <w:tab w:val="num" w:pos="1440"/>
        </w:tabs>
        <w:ind w:left="1440"/>
      </w:pPr>
      <w:r w:rsidRPr="009E7716">
        <w:t>Treatment planning and review.</w:t>
      </w:r>
      <w:r w:rsidRPr="009E7716">
        <w:br/>
      </w:r>
    </w:p>
    <w:p w:rsidR="00056996" w:rsidRPr="009E7716" w:rsidRDefault="00056996" w:rsidP="00056996">
      <w:pPr>
        <w:pStyle w:val="ListParagraph"/>
        <w:numPr>
          <w:ilvl w:val="0"/>
          <w:numId w:val="1"/>
        </w:numPr>
        <w:tabs>
          <w:tab w:val="clear" w:pos="720"/>
          <w:tab w:val="num" w:pos="1440"/>
        </w:tabs>
        <w:ind w:left="1440"/>
      </w:pPr>
      <w:r w:rsidRPr="009E7716">
        <w:t>Enhanced treatment as required.</w:t>
      </w:r>
      <w:r w:rsidRPr="009E7716">
        <w:br/>
      </w:r>
    </w:p>
    <w:p w:rsidR="00056996" w:rsidRPr="009E7716" w:rsidRDefault="00056996" w:rsidP="00056996">
      <w:pPr>
        <w:pStyle w:val="ListParagraph"/>
        <w:numPr>
          <w:ilvl w:val="0"/>
          <w:numId w:val="1"/>
        </w:numPr>
        <w:tabs>
          <w:tab w:val="clear" w:pos="720"/>
          <w:tab w:val="num" w:pos="1440"/>
        </w:tabs>
        <w:ind w:left="1440"/>
      </w:pPr>
      <w:r w:rsidRPr="009E7716">
        <w:t>Team meetings and assessment if needed.</w:t>
      </w:r>
      <w:r w:rsidRPr="009E7716">
        <w:br/>
      </w:r>
    </w:p>
    <w:p w:rsidR="00056996" w:rsidRPr="009E7716" w:rsidRDefault="00056996" w:rsidP="00056996">
      <w:pPr>
        <w:pStyle w:val="ListParagraph"/>
        <w:numPr>
          <w:ilvl w:val="0"/>
          <w:numId w:val="1"/>
        </w:numPr>
        <w:tabs>
          <w:tab w:val="clear" w:pos="720"/>
          <w:tab w:val="num" w:pos="1440"/>
        </w:tabs>
        <w:ind w:left="1440"/>
      </w:pPr>
      <w:r w:rsidRPr="009E7716">
        <w:t>Medical support</w:t>
      </w:r>
      <w:r>
        <w:t>s</w:t>
      </w:r>
      <w:r w:rsidRPr="009E7716">
        <w:t>, involvement with medical team.</w:t>
      </w:r>
      <w:r w:rsidRPr="009E7716">
        <w:br/>
      </w:r>
    </w:p>
    <w:p w:rsidR="00056996" w:rsidRPr="009E7716" w:rsidRDefault="00056996" w:rsidP="00056996">
      <w:pPr>
        <w:pStyle w:val="ListParagraph"/>
        <w:numPr>
          <w:ilvl w:val="0"/>
          <w:numId w:val="1"/>
        </w:numPr>
        <w:tabs>
          <w:tab w:val="clear" w:pos="720"/>
          <w:tab w:val="num" w:pos="1440"/>
        </w:tabs>
        <w:ind w:left="1440"/>
      </w:pPr>
      <w:r w:rsidRPr="009E7716">
        <w:t>Team involvement in treatment to include: nurses, program directors and administrators, p</w:t>
      </w:r>
      <w:r>
        <w:t>roviders</w:t>
      </w:r>
      <w:r w:rsidRPr="009E7716">
        <w:t>, counselors, family or other supports if available, and psych</w:t>
      </w:r>
      <w:r>
        <w:t>iatric</w:t>
      </w:r>
      <w:r w:rsidRPr="009E7716">
        <w:t xml:space="preserve"> supports.  </w:t>
      </w:r>
      <w:r w:rsidRPr="009E7716">
        <w:br/>
      </w:r>
    </w:p>
    <w:p w:rsidR="00056996" w:rsidRPr="009E7716" w:rsidRDefault="00056996" w:rsidP="00056996">
      <w:pPr>
        <w:pStyle w:val="ListParagraph"/>
        <w:numPr>
          <w:ilvl w:val="0"/>
          <w:numId w:val="1"/>
        </w:numPr>
        <w:tabs>
          <w:tab w:val="clear" w:pos="720"/>
          <w:tab w:val="num" w:pos="1440"/>
        </w:tabs>
        <w:ind w:left="1440"/>
      </w:pPr>
      <w:r w:rsidRPr="009E7716">
        <w:t>Review and educate patient on: expected adverse events including potential for withdrawal, precipitated withdrawal</w:t>
      </w:r>
      <w:r>
        <w:t>, opioid antagonism</w:t>
      </w:r>
      <w:r w:rsidRPr="009E7716">
        <w:t xml:space="preserve"> and other side effects. See package insert</w:t>
      </w:r>
      <w:r>
        <w:t>s</w:t>
      </w:r>
      <w:r w:rsidRPr="009E7716">
        <w:t xml:space="preserve"> (</w:t>
      </w:r>
      <w:r>
        <w:t xml:space="preserve">See </w:t>
      </w:r>
      <w:r w:rsidRPr="009E7716">
        <w:t>Appendix 11A)</w:t>
      </w:r>
      <w:r>
        <w:t xml:space="preserve"> </w:t>
      </w:r>
      <w:r w:rsidRPr="009E7716">
        <w:br/>
      </w:r>
    </w:p>
    <w:p w:rsidR="00056996" w:rsidRPr="009E7716" w:rsidRDefault="00056996" w:rsidP="00056996">
      <w:pPr>
        <w:pStyle w:val="ListParagraph"/>
        <w:numPr>
          <w:ilvl w:val="0"/>
          <w:numId w:val="1"/>
        </w:numPr>
        <w:tabs>
          <w:tab w:val="clear" w:pos="720"/>
          <w:tab w:val="num" w:pos="1440"/>
        </w:tabs>
        <w:ind w:left="1440"/>
      </w:pPr>
      <w:r w:rsidRPr="009E7716">
        <w:t>Review and educate patient on: safe storage, responsibilities for medication storage and lost/stolen policies (See Appendix 10D)</w:t>
      </w:r>
      <w:r>
        <w:t>,</w:t>
      </w:r>
      <w:r w:rsidRPr="009E7716">
        <w:t xml:space="preserve"> handling, and use of medication, including pediatric exposure concerns. </w:t>
      </w:r>
      <w:r>
        <w:t xml:space="preserve">See </w:t>
      </w:r>
      <w:r w:rsidRPr="009E7716">
        <w:t xml:space="preserve">Pediatric Exposure Brochure (Appendix 11D). </w:t>
      </w:r>
      <w:r w:rsidRPr="009E7716">
        <w:br/>
      </w:r>
    </w:p>
    <w:p w:rsidR="00056996" w:rsidRPr="009E7716" w:rsidRDefault="00056996" w:rsidP="00056996">
      <w:pPr>
        <w:numPr>
          <w:ilvl w:val="0"/>
          <w:numId w:val="1"/>
        </w:numPr>
        <w:tabs>
          <w:tab w:val="clear" w:pos="720"/>
          <w:tab w:val="num" w:pos="1440"/>
        </w:tabs>
        <w:spacing w:after="0" w:line="240" w:lineRule="auto"/>
        <w:ind w:left="1440"/>
        <w:rPr>
          <w:rFonts w:ascii="Times New Roman" w:eastAsia="Times New Roman" w:hAnsi="Times New Roman" w:cs="Times New Roman"/>
          <w:sz w:val="24"/>
          <w:szCs w:val="24"/>
        </w:rPr>
      </w:pPr>
      <w:r w:rsidRPr="009E7716">
        <w:rPr>
          <w:rFonts w:ascii="Times New Roman" w:eastAsia="Times New Roman" w:hAnsi="Times New Roman" w:cs="Times New Roman"/>
          <w:sz w:val="24"/>
          <w:szCs w:val="24"/>
        </w:rPr>
        <w:t>Inform the patient that the initial interview is not a guarantee of treatment. Following the interview, the team must review each case, including lab results, before determining whether buprenorphine/naloxone</w:t>
      </w:r>
      <w:r>
        <w:rPr>
          <w:rFonts w:ascii="Times New Roman" w:eastAsia="Times New Roman" w:hAnsi="Times New Roman" w:cs="Times New Roman"/>
          <w:sz w:val="24"/>
          <w:szCs w:val="24"/>
        </w:rPr>
        <w:t xml:space="preserve"> or naltrexone</w:t>
      </w:r>
      <w:r w:rsidRPr="009E7716">
        <w:rPr>
          <w:rFonts w:ascii="Times New Roman" w:eastAsia="Times New Roman" w:hAnsi="Times New Roman" w:cs="Times New Roman"/>
          <w:sz w:val="24"/>
          <w:szCs w:val="24"/>
        </w:rPr>
        <w:t xml:space="preserve"> treatment is an appropriate option for the patient in </w:t>
      </w:r>
      <w:r>
        <w:rPr>
          <w:rFonts w:ascii="Times New Roman" w:eastAsia="Times New Roman" w:hAnsi="Times New Roman" w:cs="Times New Roman"/>
          <w:sz w:val="24"/>
          <w:szCs w:val="24"/>
        </w:rPr>
        <w:t>this</w:t>
      </w:r>
      <w:r w:rsidRPr="009E7716">
        <w:rPr>
          <w:rFonts w:ascii="Times New Roman" w:eastAsia="Times New Roman" w:hAnsi="Times New Roman" w:cs="Times New Roman"/>
          <w:sz w:val="24"/>
          <w:szCs w:val="24"/>
        </w:rPr>
        <w:t xml:space="preserve"> outpatient treatment setting.</w:t>
      </w:r>
      <w:r w:rsidRPr="009E7716">
        <w:rPr>
          <w:rFonts w:ascii="Times New Roman" w:eastAsia="Times New Roman" w:hAnsi="Times New Roman" w:cs="Times New Roman"/>
          <w:sz w:val="24"/>
          <w:szCs w:val="24"/>
        </w:rPr>
        <w:br/>
      </w:r>
    </w:p>
    <w:p w:rsidR="00056996" w:rsidRPr="009E7716" w:rsidRDefault="00056996" w:rsidP="00056996">
      <w:pPr>
        <w:numPr>
          <w:ilvl w:val="0"/>
          <w:numId w:val="1"/>
        </w:numPr>
        <w:tabs>
          <w:tab w:val="clear" w:pos="720"/>
          <w:tab w:val="num" w:pos="1440"/>
        </w:tabs>
        <w:spacing w:after="0" w:line="240" w:lineRule="auto"/>
        <w:ind w:left="1440"/>
      </w:pPr>
      <w:r w:rsidRPr="009E7716">
        <w:rPr>
          <w:rFonts w:ascii="Times New Roman" w:eastAsia="Times New Roman" w:hAnsi="Times New Roman" w:cs="Times New Roman"/>
          <w:sz w:val="24"/>
          <w:szCs w:val="24"/>
        </w:rPr>
        <w:t>Review clinic hours and times available for scheduling visits.</w:t>
      </w:r>
      <w:r w:rsidRPr="009E7716">
        <w:br/>
      </w:r>
    </w:p>
    <w:p w:rsidR="00056996" w:rsidRPr="009E7716" w:rsidRDefault="00056996" w:rsidP="00056996">
      <w:pPr>
        <w:pStyle w:val="ListParagraph"/>
        <w:numPr>
          <w:ilvl w:val="0"/>
          <w:numId w:val="1"/>
        </w:numPr>
        <w:tabs>
          <w:tab w:val="clear" w:pos="720"/>
          <w:tab w:val="num" w:pos="1440"/>
        </w:tabs>
        <w:ind w:left="1440"/>
      </w:pPr>
      <w:r w:rsidRPr="009E7716">
        <w:t>If unable to meet the patient’s needs and the program requirements, site will assist in referring the patient to another treatment setting that may be better able to meet the needs of the patient.</w:t>
      </w:r>
    </w:p>
    <w:p w:rsidR="00056996" w:rsidRPr="00056996" w:rsidRDefault="00056996" w:rsidP="00056996">
      <w:pPr>
        <w:keepNext/>
        <w:spacing w:before="240" w:after="0" w:line="240" w:lineRule="auto"/>
        <w:ind w:left="720" w:right="360"/>
        <w:outlineLvl w:val="1"/>
        <w:rPr>
          <w:rFonts w:ascii="Times New Roman" w:eastAsia="Times New Roman" w:hAnsi="Times New Roman" w:cs="Times New Roman"/>
          <w:sz w:val="24"/>
          <w:szCs w:val="24"/>
        </w:rPr>
      </w:pPr>
      <w:bookmarkStart w:id="2" w:name="_GoBack"/>
      <w:bookmarkEnd w:id="2"/>
    </w:p>
    <w:sectPr w:rsidR="00056996" w:rsidRPr="000569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FD3" w:rsidRDefault="00DF6FD3" w:rsidP="00056996">
      <w:pPr>
        <w:spacing w:after="0" w:line="240" w:lineRule="auto"/>
      </w:pPr>
      <w:r>
        <w:separator/>
      </w:r>
    </w:p>
  </w:endnote>
  <w:endnote w:type="continuationSeparator" w:id="0">
    <w:p w:rsidR="00DF6FD3" w:rsidRDefault="00DF6FD3" w:rsidP="0005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996" w:rsidRPr="00056996" w:rsidRDefault="00056996">
    <w:pPr>
      <w:pStyle w:val="Footer"/>
      <w:rPr>
        <w:rFonts w:asciiTheme="majorHAnsi" w:hAnsiTheme="majorHAnsi"/>
        <w:sz w:val="20"/>
        <w:szCs w:val="20"/>
      </w:rPr>
    </w:pPr>
    <w:r w:rsidRPr="00056996">
      <w:rPr>
        <w:rFonts w:asciiTheme="majorHAnsi" w:hAnsiTheme="majorHAnsi" w:cs="Times New Roman"/>
        <w:sz w:val="20"/>
        <w:szCs w:val="20"/>
      </w:rPr>
      <w:t xml:space="preserve">LaBelle, C. T.; Bergeron, L. P.; </w:t>
    </w:r>
    <w:proofErr w:type="spellStart"/>
    <w:r w:rsidRPr="00056996">
      <w:rPr>
        <w:rFonts w:asciiTheme="majorHAnsi" w:hAnsiTheme="majorHAnsi" w:cs="Times New Roman"/>
        <w:sz w:val="20"/>
        <w:szCs w:val="20"/>
      </w:rPr>
      <w:t>Wason</w:t>
    </w:r>
    <w:proofErr w:type="spellEnd"/>
    <w:r w:rsidRPr="00056996">
      <w:rPr>
        <w:rFonts w:asciiTheme="majorHAnsi" w:hAnsiTheme="majorHAnsi" w:cs="Times New Roman"/>
        <w:sz w:val="20"/>
        <w:szCs w:val="20"/>
      </w:rPr>
      <w:t xml:space="preserve">, K.W.; and Ventura, A. S. </w:t>
    </w:r>
    <w:r w:rsidRPr="00056996">
      <w:rPr>
        <w:rFonts w:asciiTheme="majorHAnsi" w:hAnsiTheme="majorHAnsi" w:cs="Times New Roman"/>
        <w:i/>
        <w:sz w:val="20"/>
        <w:szCs w:val="20"/>
      </w:rPr>
      <w:t>Policy and Procedure Manual of the Office Based Addiction Treatment Program for the use of Buprenorphine and Naltrexone Formulations in the Treatment of Substance Use Disorders</w:t>
    </w:r>
    <w:r w:rsidRPr="00056996">
      <w:rPr>
        <w:rFonts w:asciiTheme="majorHAnsi" w:hAnsiTheme="majorHAnsi" w:cs="Times New Roman"/>
        <w:sz w:val="20"/>
        <w:szCs w:val="20"/>
      </w:rPr>
      <w:t>. Unpublished treatment manual, Boston Medical Center,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FD3" w:rsidRDefault="00DF6FD3" w:rsidP="00056996">
      <w:pPr>
        <w:spacing w:after="0" w:line="240" w:lineRule="auto"/>
      </w:pPr>
      <w:r>
        <w:separator/>
      </w:r>
    </w:p>
  </w:footnote>
  <w:footnote w:type="continuationSeparator" w:id="0">
    <w:p w:rsidR="00DF6FD3" w:rsidRDefault="00DF6FD3" w:rsidP="000569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E34A2"/>
    <w:multiLevelType w:val="multilevel"/>
    <w:tmpl w:val="DB54CB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32045C3"/>
    <w:multiLevelType w:val="multilevel"/>
    <w:tmpl w:val="3756705A"/>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Wingdings" w:hAnsi="Wingding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FAE336A"/>
    <w:multiLevelType w:val="multilevel"/>
    <w:tmpl w:val="A4F2430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Wingdings" w:hAnsi="Wingdings" w:hint="default"/>
        <w:color w:val="auto"/>
      </w:rPr>
    </w:lvl>
    <w:lvl w:ilvl="2">
      <w:start w:val="1"/>
      <w:numFmt w:val="bullet"/>
      <w:lvlText w:val=""/>
      <w:lvlJc w:val="left"/>
      <w:pPr>
        <w:tabs>
          <w:tab w:val="num" w:pos="2160"/>
        </w:tabs>
        <w:ind w:left="2160" w:hanging="720"/>
      </w:pPr>
      <w:rPr>
        <w:rFonts w:ascii="Wingdings" w:hAnsi="Wingding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98F33C3"/>
    <w:multiLevelType w:val="multilevel"/>
    <w:tmpl w:val="FA10EAF6"/>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Wingdings" w:hAnsi="Wingding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5C197EC1"/>
    <w:multiLevelType w:val="hybridMultilevel"/>
    <w:tmpl w:val="DBDE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4448EE"/>
    <w:multiLevelType w:val="multilevel"/>
    <w:tmpl w:val="24F430BC"/>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Wingdings" w:hAnsi="Wingdings" w:hint="default"/>
        <w:color w:val="auto"/>
      </w:rPr>
    </w:lvl>
    <w:lvl w:ilvl="2">
      <w:start w:val="1"/>
      <w:numFmt w:val="bullet"/>
      <w:lvlText w:val=""/>
      <w:lvlJc w:val="left"/>
      <w:pPr>
        <w:tabs>
          <w:tab w:val="num" w:pos="2160"/>
        </w:tabs>
        <w:ind w:left="2160" w:hanging="720"/>
      </w:pPr>
      <w:rPr>
        <w:rFonts w:ascii="Wingdings" w:hAnsi="Wingding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8AD"/>
    <w:rsid w:val="00056996"/>
    <w:rsid w:val="008718AD"/>
    <w:rsid w:val="008C7769"/>
    <w:rsid w:val="00D44FE9"/>
    <w:rsid w:val="00DF6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5AFA4-FF7F-43C8-B426-6521AB87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8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8718AD"/>
    <w:rPr>
      <w:b/>
      <w:bCs/>
      <w:i/>
      <w:iCs/>
      <w:color w:val="5B9BD5" w:themeColor="accent1"/>
    </w:rPr>
  </w:style>
  <w:style w:type="character" w:styleId="SubtleReference">
    <w:name w:val="Subtle Reference"/>
    <w:basedOn w:val="DefaultParagraphFont"/>
    <w:uiPriority w:val="31"/>
    <w:qFormat/>
    <w:rsid w:val="008718AD"/>
    <w:rPr>
      <w:smallCaps/>
      <w:color w:val="ED7D31" w:themeColor="accent2"/>
      <w:u w:val="single"/>
    </w:rPr>
  </w:style>
  <w:style w:type="paragraph" w:styleId="ListParagraph">
    <w:name w:val="List Paragraph"/>
    <w:basedOn w:val="Normal"/>
    <w:uiPriority w:val="34"/>
    <w:qFormat/>
    <w:rsid w:val="00056996"/>
    <w:pPr>
      <w:spacing w:after="0" w:line="240" w:lineRule="auto"/>
      <w:ind w:left="720"/>
    </w:pPr>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056996"/>
    <w:rPr>
      <w:b/>
      <w:bCs/>
      <w:smallCaps/>
      <w:color w:val="ED7D31" w:themeColor="accent2"/>
      <w:spacing w:val="5"/>
      <w:u w:val="single"/>
    </w:rPr>
  </w:style>
  <w:style w:type="character" w:styleId="Emphasis">
    <w:name w:val="Emphasis"/>
    <w:basedOn w:val="DefaultParagraphFont"/>
    <w:uiPriority w:val="20"/>
    <w:qFormat/>
    <w:rsid w:val="00056996"/>
    <w:rPr>
      <w:i/>
      <w:iCs/>
    </w:rPr>
  </w:style>
  <w:style w:type="paragraph" w:styleId="Header">
    <w:name w:val="header"/>
    <w:basedOn w:val="Normal"/>
    <w:link w:val="HeaderChar"/>
    <w:uiPriority w:val="99"/>
    <w:unhideWhenUsed/>
    <w:rsid w:val="00056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996"/>
  </w:style>
  <w:style w:type="paragraph" w:styleId="Footer">
    <w:name w:val="footer"/>
    <w:basedOn w:val="Normal"/>
    <w:link w:val="FooterChar"/>
    <w:uiPriority w:val="99"/>
    <w:unhideWhenUsed/>
    <w:rsid w:val="00056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Campbell</dc:creator>
  <cp:keywords/>
  <dc:description/>
  <cp:lastModifiedBy>Aimee  Campbell</cp:lastModifiedBy>
  <cp:revision>3</cp:revision>
  <dcterms:created xsi:type="dcterms:W3CDTF">2017-05-08T14:51:00Z</dcterms:created>
  <dcterms:modified xsi:type="dcterms:W3CDTF">2017-05-08T14:58:00Z</dcterms:modified>
</cp:coreProperties>
</file>